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711" w:firstLineChars="750"/>
        <w:jc w:val="left"/>
        <w:rPr>
          <w:rFonts w:ascii="宋体" w:cs="DHTJ-PK7482000004b-Identity-H"/>
          <w:b/>
          <w:color w:val="000000"/>
          <w:kern w:val="0"/>
          <w:sz w:val="36"/>
          <w:szCs w:val="28"/>
        </w:rPr>
      </w:pPr>
      <w:r>
        <w:rPr>
          <w:rFonts w:hint="eastAsia" w:ascii="宋体" w:hAnsi="宋体" w:cs="DHTJ-PK7482000004b-Identity-H"/>
          <w:b/>
          <w:color w:val="000000"/>
          <w:kern w:val="0"/>
          <w:sz w:val="36"/>
          <w:szCs w:val="28"/>
        </w:rPr>
        <w:t>不良金融资产转让合同</w:t>
      </w:r>
    </w:p>
    <w:p>
      <w:pPr>
        <w:autoSpaceDE w:val="0"/>
        <w:autoSpaceDN w:val="0"/>
        <w:adjustRightInd w:val="0"/>
        <w:jc w:val="center"/>
        <w:rPr>
          <w:rFonts w:ascii="宋体" w:cs="FSJ-PK7482000000b-Identity-H"/>
          <w:color w:val="000000"/>
          <w:kern w:val="0"/>
          <w:szCs w:val="21"/>
        </w:rPr>
      </w:pPr>
      <w:r>
        <w:rPr>
          <w:rFonts w:hint="eastAsia" w:ascii="宋体" w:hAnsi="宋体" w:cs="FSJ-PK7482000000b-Identity-H"/>
          <w:color w:val="000000"/>
          <w:kern w:val="0"/>
          <w:szCs w:val="21"/>
        </w:rPr>
        <w:t>（合同编号：）</w:t>
      </w:r>
    </w:p>
    <w:p>
      <w:pPr>
        <w:autoSpaceDE w:val="0"/>
        <w:autoSpaceDN w:val="0"/>
        <w:adjustRightInd w:val="0"/>
        <w:jc w:val="left"/>
        <w:rPr>
          <w:rFonts w:ascii="宋体" w:cs="KTJ-PK74820000009-Identity-H"/>
          <w:color w:val="000000"/>
          <w:kern w:val="0"/>
          <w:sz w:val="28"/>
          <w:szCs w:val="28"/>
        </w:rPr>
      </w:pP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本合同由以下双方于   年     月    日在中国武汉市共同签署。</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甲方：招商银行股份有限公司武汉分行</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负责人：文行赤</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地址：武汉市汉口建设大道</w:t>
      </w:r>
      <w:r>
        <w:rPr>
          <w:rFonts w:ascii="宋体" w:hAnsi="宋体" w:cs="FSJ-PK7482000000b-Identity-H"/>
          <w:color w:val="000000"/>
          <w:kern w:val="0"/>
          <w:sz w:val="28"/>
          <w:szCs w:val="28"/>
        </w:rPr>
        <w:t>518</w:t>
      </w:r>
      <w:r>
        <w:rPr>
          <w:rFonts w:hint="eastAsia" w:ascii="宋体" w:hAnsi="宋体" w:cs="FSJ-PK7482000000b-Identity-H"/>
          <w:color w:val="000000"/>
          <w:kern w:val="0"/>
          <w:sz w:val="28"/>
          <w:szCs w:val="28"/>
        </w:rPr>
        <w:t>号招银大厦裙楼</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邮编：</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电话：</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 xml:space="preserve">乙方： </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 xml:space="preserve">法定代表人： </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 xml:space="preserve">地址： </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邮编：</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电话：</w:t>
      </w:r>
    </w:p>
    <w:p>
      <w:pPr>
        <w:autoSpaceDE w:val="0"/>
        <w:autoSpaceDN w:val="0"/>
        <w:adjustRightInd w:val="0"/>
        <w:ind w:firstLine="560" w:firstLineChars="200"/>
        <w:jc w:val="left"/>
        <w:rPr>
          <w:rFonts w:ascii="宋体" w:hAnsi="宋体" w:cs="FSJ-PK7482000000b-Identity-H"/>
          <w:color w:val="000000"/>
          <w:kern w:val="0"/>
          <w:sz w:val="28"/>
          <w:szCs w:val="28"/>
        </w:rPr>
      </w:pP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甲方、乙方合称为“双方”，单称为“一方”。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鉴于</w:t>
      </w:r>
    </w:p>
    <w:p>
      <w:pPr>
        <w:autoSpaceDE w:val="0"/>
        <w:autoSpaceDN w:val="0"/>
        <w:adjustRightInd w:val="0"/>
        <w:ind w:firstLine="420" w:firstLineChars="150"/>
        <w:jc w:val="left"/>
        <w:rPr>
          <w:rFonts w:ascii="宋体" w:cs="FSJ-PK7482000000b-Identity-H"/>
          <w:color w:val="000000"/>
          <w:kern w:val="0"/>
          <w:sz w:val="28"/>
          <w:szCs w:val="28"/>
        </w:rPr>
      </w:pPr>
      <w:r>
        <w:rPr>
          <w:rFonts w:ascii="宋体" w:hAnsi="宋体" w:cs="E-BZ-PK74899-Identity-H"/>
          <w:color w:val="000000"/>
          <w:kern w:val="0"/>
          <w:sz w:val="28"/>
          <w:szCs w:val="28"/>
        </w:rPr>
        <w:t>1</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甲方持有的不良贷款形成的资产不能在计划时间内全部变现收回。</w:t>
      </w:r>
    </w:p>
    <w:p>
      <w:pPr>
        <w:autoSpaceDE w:val="0"/>
        <w:autoSpaceDN w:val="0"/>
        <w:adjustRightInd w:val="0"/>
        <w:ind w:firstLine="420" w:firstLineChars="15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hint="eastAsia" w:ascii="宋体" w:hAnsi="宋体" w:cs="FSJ-PK7482000000b-Identity-H"/>
          <w:color w:val="000000"/>
          <w:kern w:val="0"/>
          <w:sz w:val="28"/>
          <w:szCs w:val="28"/>
        </w:rPr>
        <w:t>甲方根据不良贷款资产的特点，依据现行法律法规，拟就其不良贷款债权（见附件一）以公开竞价方式进行处置。</w:t>
      </w:r>
    </w:p>
    <w:p>
      <w:pPr>
        <w:autoSpaceDE w:val="0"/>
        <w:autoSpaceDN w:val="0"/>
        <w:adjustRightInd w:val="0"/>
        <w:ind w:firstLine="420" w:firstLineChars="150"/>
        <w:jc w:val="left"/>
        <w:rPr>
          <w:rFonts w:ascii="宋体" w:cs="FSJ-PK7482000000b-Identity-H"/>
          <w:color w:val="000000"/>
          <w:kern w:val="0"/>
          <w:sz w:val="28"/>
          <w:szCs w:val="28"/>
        </w:rPr>
      </w:pPr>
      <w:r>
        <w:rPr>
          <w:rFonts w:hint="eastAsia" w:ascii="宋体" w:hAnsi="宋体" w:cs="E-BZ-PK74899-Identity-H"/>
          <w:color w:val="000000"/>
          <w:kern w:val="0"/>
          <w:sz w:val="28"/>
          <w:szCs w:val="28"/>
        </w:rPr>
        <w:t>３、</w:t>
      </w:r>
      <w:r>
        <w:rPr>
          <w:rFonts w:hint="eastAsia" w:ascii="宋体" w:hAnsi="宋体" w:cs="FSJ-PK7482000000b-Identity-H"/>
          <w:color w:val="000000"/>
          <w:kern w:val="0"/>
          <w:sz w:val="28"/>
          <w:szCs w:val="28"/>
        </w:rPr>
        <w:t>乙方在充分理解受让不良贷款债权风险的基础上，愿意按现状整体受让甲方持有的上述不良贷款债权。</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为此，甲、乙双方经友好协商，就甲、乙双方在武汉光谷联合产权交易所转让不良贷款债权事宜，达成如下合同（以下简称“本合同”），以昭信守。</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定义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除非本合同另有规定，下列词语应具有如下特定涵义：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标的债权：指截至基准日的主债权、从权利以及由此转化的其它相关权益的通称。其他相关权益是指：基准日前，甲方（及其前手）因管理、处置需要可能已与《标的债权明细》中部分债务人（包括担保人）达成包括但不限于重组协议、和解协议、抵债协议、或接受法院抵债裁定，而这些协议并未履行完毕或抵债物未完成过户，因此，乙方受让的对该等债务人（包括担保人）的债权，已从原始的贷款合同、担保合同项下的债权，全部或部分转化为前述协议项下或法院生效裁定所对应的权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标的债权文件：指截至公告日甲方所持有的与确认和行使标的债权相关的全部法律文件。包括截至基准日甲方所持有的并向乙方披露的与标的债权相关的法律文件和甲方所持有的在过渡期和交接期内新产生的与标的债权相关的法律文件。</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基准日：指甲方确定的计算标的债权账面本金及利息余额的截止日，即2020年3月16日。</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 xml:space="preserve">.4  </w:t>
      </w:r>
      <w:r>
        <w:rPr>
          <w:rFonts w:hint="eastAsia" w:ascii="宋体" w:hAnsi="宋体" w:cs="FSJ-PK7482000000b-Identity-H"/>
          <w:color w:val="000000"/>
          <w:kern w:val="0"/>
          <w:sz w:val="28"/>
          <w:szCs w:val="28"/>
        </w:rPr>
        <w:t>权利转移日：指乙方按照本合同的约定支付完毕全部转让价款之日。</w:t>
      </w:r>
    </w:p>
    <w:p>
      <w:pPr>
        <w:autoSpaceDE w:val="0"/>
        <w:autoSpaceDN w:val="0"/>
        <w:adjustRightInd w:val="0"/>
        <w:ind w:firstLine="560" w:firstLineChars="200"/>
        <w:jc w:val="left"/>
        <w:rPr>
          <w:rFonts w:ascii="宋体" w:cs="DHTJ-PK7482000004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 xml:space="preserve">.5  </w:t>
      </w:r>
      <w:r>
        <w:rPr>
          <w:rFonts w:hint="eastAsia" w:ascii="宋体" w:hAnsi="宋体" w:cs="FSJ-PK7482000000b-Identity-H"/>
          <w:color w:val="000000"/>
          <w:kern w:val="0"/>
          <w:sz w:val="28"/>
          <w:szCs w:val="28"/>
        </w:rPr>
        <w:t>公</w:t>
      </w:r>
      <w:r>
        <w:rPr>
          <w:rFonts w:hint="eastAsia" w:ascii="宋体" w:hAnsi="宋体" w:cs="DHTJ-PK7482000004b-Identity-H"/>
          <w:color w:val="000000"/>
          <w:kern w:val="0"/>
          <w:sz w:val="28"/>
          <w:szCs w:val="28"/>
        </w:rPr>
        <w:t>告日：指在乙方支付完毕全部转让价款的前提下，就本合同项下的标的债权整体转让事宜，</w:t>
      </w:r>
      <w:r>
        <w:rPr>
          <w:rFonts w:ascii="_5b8b_4f53" w:hAnsi="_5b8b_4f53"/>
          <w:sz w:val="28"/>
          <w:szCs w:val="28"/>
        </w:rPr>
        <w:t>甲乙双方以公告形式向债务人及担保人发出通知之日</w:t>
      </w:r>
      <w:r>
        <w:rPr>
          <w:rFonts w:hint="eastAsia" w:ascii="宋体" w:hAnsi="宋体" w:cs="DHTJ-PK7482000004b-Identity-H"/>
          <w:color w:val="000000"/>
          <w:kern w:val="0"/>
          <w:sz w:val="28"/>
          <w:szCs w:val="28"/>
        </w:rPr>
        <w:t>。</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.6</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过渡期：指自基准日（不含本日）起至权利转移日止的期间。</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 xml:space="preserve">.7  </w:t>
      </w:r>
      <w:r>
        <w:rPr>
          <w:rFonts w:hint="eastAsia" w:ascii="宋体" w:hAnsi="宋体" w:cs="FSJ-PK7482000000b-Identity-H"/>
          <w:color w:val="000000"/>
          <w:kern w:val="0"/>
          <w:sz w:val="28"/>
          <w:szCs w:val="28"/>
        </w:rPr>
        <w:t>交接期间：指自权利转移日次日至公告日（含本日）的期间。</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１</w:t>
      </w:r>
      <w:r>
        <w:rPr>
          <w:rFonts w:ascii="宋体" w:hAnsi="宋体" w:cs="E-BZ-PK74899-Identity-H"/>
          <w:color w:val="000000"/>
          <w:kern w:val="0"/>
          <w:sz w:val="28"/>
          <w:szCs w:val="28"/>
        </w:rPr>
        <w:t xml:space="preserve">.8  </w:t>
      </w:r>
      <w:r>
        <w:rPr>
          <w:rFonts w:hint="eastAsia" w:ascii="宋体" w:hAnsi="宋体" w:cs="FSJ-PK7482000000b-Identity-H"/>
          <w:color w:val="000000"/>
          <w:kern w:val="0"/>
          <w:sz w:val="28"/>
          <w:szCs w:val="28"/>
        </w:rPr>
        <w:t>法定期间：指法律、法规规定的各种期间，包括但不限于上诉期、申诉期、申请执行期间、保证期间、破产债权申报期间。</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风险揭示</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乙方已被告知并完全理解，乙方受让债权后，由于相关法律法规规章政策的限制，导致乙方能够行使的标的债权数额可能小于本协议（含附件）中列明的标的债权数额。相关法律法规规章政策包括但不限于：</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Ａ、</w:t>
      </w:r>
      <w:r>
        <w:rPr>
          <w:rFonts w:hint="eastAsia" w:ascii="宋体" w:hAnsi="宋体" w:cs="FSJ-PK7482000000b-Identity-H"/>
          <w:color w:val="000000"/>
          <w:kern w:val="0"/>
          <w:sz w:val="28"/>
          <w:szCs w:val="28"/>
        </w:rPr>
        <w:t>《关于审理涉及金融不良债权转让案件工作座谈会纪要》（法发〔</w:t>
      </w:r>
      <w:r>
        <w:rPr>
          <w:rFonts w:hint="eastAsia" w:ascii="宋体" w:hAnsi="宋体" w:cs="E-BZ-PK74899-Identity-H"/>
          <w:color w:val="000000"/>
          <w:kern w:val="0"/>
          <w:sz w:val="28"/>
          <w:szCs w:val="28"/>
        </w:rPr>
        <w:t>２００９</w:t>
      </w: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１９</w:t>
      </w:r>
      <w:r>
        <w:rPr>
          <w:rFonts w:hint="eastAsia" w:ascii="宋体" w:hAnsi="宋体" w:cs="FSJ-PK7482000000b-Identity-H"/>
          <w:color w:val="000000"/>
          <w:kern w:val="0"/>
          <w:sz w:val="28"/>
          <w:szCs w:val="28"/>
        </w:rPr>
        <w:t>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的法人、自然人；</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Ｂ、</w:t>
      </w:r>
      <w:r>
        <w:rPr>
          <w:rFonts w:hint="eastAsia" w:ascii="宋体" w:hAnsi="宋体" w:cs="FSJ-PK7482000000b-Identity-H"/>
          <w:color w:val="000000"/>
          <w:kern w:val="0"/>
          <w:sz w:val="28"/>
          <w:szCs w:val="28"/>
        </w:rPr>
        <w:t>《合同法》第八十一条：债权人转让权利的，受让人取得与债权相关的从权利，但该权利专属于债权人自身的除外；</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Ｃ、</w:t>
      </w:r>
      <w:r>
        <w:rPr>
          <w:rFonts w:hint="eastAsia" w:ascii="宋体" w:hAnsi="宋体" w:cs="FSJ-PK7482000000b-Identity-H"/>
          <w:color w:val="000000"/>
          <w:kern w:val="0"/>
          <w:sz w:val="28"/>
          <w:szCs w:val="28"/>
        </w:rPr>
        <w:t>《关于印发〈人民币利率管理〉规定的通知》（银发〔</w:t>
      </w:r>
      <w:r>
        <w:rPr>
          <w:rFonts w:hint="eastAsia" w:ascii="宋体" w:hAnsi="宋体" w:cs="E-BZ-PK74899-Identity-H"/>
          <w:color w:val="000000"/>
          <w:kern w:val="0"/>
          <w:sz w:val="28"/>
          <w:szCs w:val="28"/>
        </w:rPr>
        <w:t>１９９９</w:t>
      </w: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７７</w:t>
      </w:r>
      <w:r>
        <w:rPr>
          <w:rFonts w:hint="eastAsia" w:ascii="宋体" w:hAnsi="宋体" w:cs="FSJ-PK7482000000b-Identity-H"/>
          <w:color w:val="000000"/>
          <w:kern w:val="0"/>
          <w:sz w:val="28"/>
          <w:szCs w:val="28"/>
        </w:rPr>
        <w:t>号）相关规定。</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乙方已被告知并完全理解，乙方受让标的债权后，对该标的债权在基准日以后产生的利息、罚息的请求权，乙方可能无法继续享有。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３　</w:t>
      </w:r>
      <w:r>
        <w:rPr>
          <w:rFonts w:hint="eastAsia" w:ascii="宋体" w:hAnsi="宋体" w:cs="FSJ-PK7482000000b-Identity-H"/>
          <w:color w:val="000000"/>
          <w:kern w:val="0"/>
          <w:sz w:val="28"/>
          <w:szCs w:val="28"/>
        </w:rPr>
        <w:t>乙方已被告知并完全理解，乙方受让标的债权后，可能无法享有甲方所享有的国家法律政等规定的各项优惠条件和特殊保护，包括但不限于税收和诉讼方面的优惠和特殊保护。</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４　</w:t>
      </w:r>
      <w:r>
        <w:rPr>
          <w:rFonts w:hint="eastAsia" w:ascii="宋体" w:hAnsi="宋体" w:cs="FSJ-PK7482000000b-Identity-H"/>
          <w:color w:val="000000"/>
          <w:kern w:val="0"/>
          <w:sz w:val="28"/>
          <w:szCs w:val="28"/>
        </w:rPr>
        <w:t>乙方已被告知并完全理解，甲方转让给乙方的标的债权，可能存在着瑕疵或尚未发现的缺陷，以至于乙方预期利益无法实现。乙方受让的标的债权可能存在的瑕疵或缺陷包括但不限于下列一项或多项：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Ａ、</w:t>
      </w:r>
      <w:r>
        <w:rPr>
          <w:rFonts w:hint="eastAsia" w:ascii="宋体" w:hAnsi="宋体" w:cs="FSJ-PK7482000000b-Identity-H"/>
          <w:color w:val="000000"/>
          <w:kern w:val="0"/>
          <w:sz w:val="28"/>
          <w:szCs w:val="28"/>
        </w:rPr>
        <w:t>与标的债权相关的债务人和</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或担保人和</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或第三方可能存在破产、被解散、被注销、被撤销、被关闭、被吊销、歇业、下落不明以及其他主体存续性瑕疵的情形；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Ｂ、</w:t>
      </w:r>
      <w:r>
        <w:rPr>
          <w:rFonts w:hint="eastAsia" w:ascii="宋体" w:hAnsi="宋体" w:cs="FSJ-PK7482000000b-Identity-H"/>
          <w:color w:val="000000"/>
          <w:kern w:val="0"/>
          <w:sz w:val="28"/>
          <w:szCs w:val="28"/>
        </w:rPr>
        <w:t>标的债权可能存在已超过诉讼时效、丧失相关的法定期间、因其他原因已部分消灭或不能被强制执行的情形；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Ｃ、</w:t>
      </w:r>
      <w:r>
        <w:rPr>
          <w:rFonts w:hint="eastAsia" w:ascii="宋体" w:hAnsi="宋体" w:cs="FSJ-PK7482000000b-Identity-H"/>
          <w:color w:val="000000"/>
          <w:kern w:val="0"/>
          <w:sz w:val="28"/>
          <w:szCs w:val="28"/>
        </w:rPr>
        <w:t>标的债权可能存在未生效、无效或被撤销的情形；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Ｄ、</w:t>
      </w:r>
      <w:r>
        <w:rPr>
          <w:rFonts w:hint="eastAsia" w:ascii="宋体" w:hAnsi="宋体" w:cs="FSJ-PK7482000000b-Identity-H"/>
          <w:color w:val="000000"/>
          <w:kern w:val="0"/>
          <w:sz w:val="28"/>
          <w:szCs w:val="28"/>
        </w:rPr>
        <w:t>标的债权文件对于标的债权的行使可能存在不完整、原件缺失或内容冲突等相关情形；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E、</w:t>
      </w:r>
      <w:r>
        <w:rPr>
          <w:rFonts w:hint="eastAsia" w:ascii="宋体" w:hAnsi="宋体" w:cs="FSJ-PK7482000000b-Identity-H"/>
          <w:color w:val="000000"/>
          <w:kern w:val="0"/>
          <w:sz w:val="28"/>
          <w:szCs w:val="28"/>
        </w:rPr>
        <w:t>担保物、抵债资产可能发生灭失、毁损或可能存在欠缴税费、无相关权属证明、无法办理权属变更手续、不能实际占有、丧失使用价值或其他减损担保物、抵债资产价值的相关情形；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F、</w:t>
      </w:r>
      <w:r>
        <w:rPr>
          <w:rFonts w:hint="eastAsia" w:ascii="宋体" w:hAnsi="宋体" w:cs="FSJ-PK7482000000b-Identity-H"/>
          <w:color w:val="000000"/>
          <w:kern w:val="0"/>
          <w:sz w:val="28"/>
          <w:szCs w:val="28"/>
        </w:rPr>
        <w:t>涉诉标的债权可能存在败诉、不能变更诉讼主体、执行主体等诉讼风险；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G、</w:t>
      </w:r>
      <w:r>
        <w:rPr>
          <w:rFonts w:hint="eastAsia" w:ascii="宋体" w:hAnsi="宋体" w:cs="FSJ-PK7482000000b-Identity-H"/>
          <w:color w:val="000000"/>
          <w:kern w:val="0"/>
          <w:sz w:val="28"/>
          <w:szCs w:val="28"/>
        </w:rPr>
        <w:t>标的债权可能存在欠缴各种诉讼费用的情形。</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５　</w:t>
      </w:r>
      <w:r>
        <w:rPr>
          <w:rFonts w:hint="eastAsia" w:ascii="宋体" w:hAnsi="宋体" w:cs="FSJ-PK7482000000b-Identity-H"/>
          <w:color w:val="000000"/>
          <w:kern w:val="0"/>
          <w:sz w:val="28"/>
          <w:szCs w:val="28"/>
        </w:rPr>
        <w:t>基于乙方对标的债权的风险特征已有充分的理解，乙方已被告知并完全理解，其受让的标的债权，可能因存在计算误差或其他原因，从而导致乙方实际接收的债权金额与本合同第</w:t>
      </w:r>
      <w:r>
        <w:rPr>
          <w:rFonts w:hint="eastAsia" w:ascii="宋体" w:hAnsi="宋体" w:cs="E-BZ-PK74899-Identity-H"/>
          <w:color w:val="000000"/>
          <w:kern w:val="0"/>
          <w:sz w:val="28"/>
          <w:szCs w:val="28"/>
        </w:rPr>
        <w:t>３</w:t>
      </w:r>
      <w:r>
        <w:rPr>
          <w:rFonts w:hint="eastAsia" w:ascii="宋体" w:hAnsi="宋体" w:cs="FSJ-PK7482000000b-Identity-H"/>
          <w:color w:val="000000"/>
          <w:kern w:val="0"/>
          <w:sz w:val="28"/>
          <w:szCs w:val="28"/>
        </w:rPr>
        <w:t>条表述的债权金额以及本合同附件一中所列债权金额不完全一致。</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２</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６　</w:t>
      </w:r>
      <w:r>
        <w:rPr>
          <w:rFonts w:hint="eastAsia" w:ascii="宋体" w:hAnsi="宋体" w:cs="FSJ-PK7482000000b-Identity-H"/>
          <w:color w:val="000000"/>
          <w:kern w:val="0"/>
          <w:sz w:val="28"/>
          <w:szCs w:val="28"/>
        </w:rPr>
        <w:t>乙方已被告知、仔细阅读并完全理解本合同及其附件揭示的风险，除本合同另有约定外，自愿承担由上述风险造成的一切损失以及不能获得相应预期利益的后果。</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３　</w:t>
      </w:r>
      <w:r>
        <w:rPr>
          <w:rFonts w:hint="eastAsia" w:ascii="宋体" w:hAnsi="宋体" w:cs="FSJ-PK7482000000b-Identity-H"/>
          <w:color w:val="000000"/>
          <w:kern w:val="0"/>
          <w:sz w:val="28"/>
          <w:szCs w:val="28"/>
        </w:rPr>
        <w:t>标的债权的数额</w:t>
      </w:r>
    </w:p>
    <w:p>
      <w:pPr>
        <w:rPr>
          <w:color w:val="000000"/>
          <w:sz w:val="20"/>
          <w:szCs w:val="20"/>
        </w:rPr>
      </w:pPr>
      <w:r>
        <w:rPr>
          <w:rFonts w:hint="eastAsia" w:ascii="宋体" w:hAnsi="宋体" w:cs="FSJ-PK7482000000b-Identity-H"/>
          <w:color w:val="000000"/>
          <w:kern w:val="0"/>
          <w:sz w:val="28"/>
          <w:szCs w:val="28"/>
        </w:rPr>
        <w:t xml:space="preserve">    截至基准日，标的债权的账面本金余额为人民币          （小写：</w:t>
      </w:r>
      <w:r>
        <w:rPr>
          <w:rFonts w:hint="eastAsia" w:ascii="宋体" w:hAnsi="宋体" w:cs="E-BZ-PK74899-Identity-H"/>
          <w:color w:val="000000"/>
          <w:kern w:val="0"/>
          <w:sz w:val="28"/>
          <w:szCs w:val="28"/>
          <w:u w:val="single"/>
        </w:rPr>
        <w:t>￥</w:t>
      </w:r>
      <w:r>
        <w:rPr>
          <w:rFonts w:hint="eastAsia" w:ascii="宋体" w:hAnsi="宋体" w:cs="FSJ-PK7482000000b-Identity-H"/>
          <w:color w:val="000000"/>
          <w:kern w:val="0"/>
          <w:sz w:val="28"/>
          <w:szCs w:val="28"/>
          <w:u w:val="single"/>
        </w:rPr>
        <w:t xml:space="preserve">             </w:t>
      </w:r>
      <w:r>
        <w:rPr>
          <w:rFonts w:hint="eastAsia" w:ascii="宋体" w:hAnsi="宋体" w:cs="FSJ-PK7482000000b-Identity-H"/>
          <w:color w:val="000000"/>
          <w:kern w:val="0"/>
          <w:sz w:val="28"/>
          <w:szCs w:val="28"/>
        </w:rPr>
        <w:t xml:space="preserve">元），利息为人民币 </w:t>
      </w:r>
      <w:r>
        <w:rPr>
          <w:rFonts w:hint="eastAsia" w:ascii="宋体" w:hAnsi="宋体" w:cs="FSJ-PK7482000000b-Identity-H"/>
          <w:color w:val="000000"/>
          <w:kern w:val="0"/>
          <w:sz w:val="28"/>
          <w:szCs w:val="28"/>
          <w:u w:val="single"/>
        </w:rPr>
        <w:t xml:space="preserve">                  </w:t>
      </w:r>
      <w:r>
        <w:rPr>
          <w:rFonts w:hint="eastAsia" w:ascii="宋体" w:hAnsi="宋体" w:cs="FSJ-PK7482000000b-Identity-H"/>
          <w:color w:val="000000"/>
          <w:kern w:val="0"/>
          <w:sz w:val="28"/>
          <w:szCs w:val="28"/>
        </w:rPr>
        <w:t>（小写：</w:t>
      </w:r>
      <w:r>
        <w:rPr>
          <w:rFonts w:hint="eastAsia" w:ascii="宋体" w:hAnsi="宋体" w:cs="FSJ-PK7482000000b-Identity-H"/>
          <w:color w:val="000000"/>
          <w:kern w:val="0"/>
          <w:sz w:val="28"/>
          <w:szCs w:val="28"/>
          <w:u w:val="single"/>
        </w:rPr>
        <w:t>￥</w:t>
      </w:r>
      <w:r>
        <w:rPr>
          <w:rFonts w:hint="eastAsia" w:ascii="宋体" w:hAnsi="宋体" w:cs="E-BZ-PK74899-Identity-H"/>
          <w:color w:val="000000"/>
          <w:kern w:val="0"/>
          <w:sz w:val="28"/>
          <w:szCs w:val="28"/>
          <w:u w:val="single"/>
        </w:rPr>
        <w:t xml:space="preserve">             </w:t>
      </w:r>
      <w:r>
        <w:rPr>
          <w:rFonts w:hint="eastAsia" w:ascii="宋体" w:hAnsi="宋体" w:cs="FSJ-PK7482000000b-Identity-H"/>
          <w:color w:val="000000"/>
          <w:kern w:val="0"/>
          <w:sz w:val="28"/>
          <w:szCs w:val="28"/>
        </w:rPr>
        <w:t>元）。标的债权的详细情况以及账面余额详见本合同附件一。</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４　</w:t>
      </w:r>
      <w:r>
        <w:rPr>
          <w:rFonts w:hint="eastAsia" w:ascii="宋体" w:hAnsi="宋体" w:cs="FSJ-PK7482000000b-Identity-H"/>
          <w:color w:val="000000"/>
          <w:kern w:val="0"/>
          <w:sz w:val="28"/>
          <w:szCs w:val="28"/>
        </w:rPr>
        <w:t>标的债权的转让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甲方同意按照本合同的约定，向乙方转让标的债权；乙方同意按照本合同的约定，受让标的债权。</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５　</w:t>
      </w:r>
      <w:r>
        <w:rPr>
          <w:rFonts w:hint="eastAsia" w:ascii="宋体" w:hAnsi="宋体" w:cs="FSJ-PK7482000000b-Identity-H"/>
          <w:color w:val="000000"/>
          <w:kern w:val="0"/>
          <w:sz w:val="28"/>
          <w:szCs w:val="28"/>
        </w:rPr>
        <w:t>转让价款及支付方式</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５</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总价款</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甲方将第</w:t>
      </w:r>
      <w:r>
        <w:rPr>
          <w:rFonts w:hint="eastAsia" w:ascii="宋体" w:hAnsi="宋体" w:cs="E-BZ-PK74899-Identity-H"/>
          <w:color w:val="000000"/>
          <w:kern w:val="0"/>
          <w:sz w:val="28"/>
          <w:szCs w:val="28"/>
        </w:rPr>
        <w:t>３</w:t>
      </w:r>
      <w:r>
        <w:rPr>
          <w:rFonts w:hint="eastAsia" w:ascii="宋体" w:hAnsi="宋体" w:cs="FSJ-PK7482000000b-Identity-H"/>
          <w:color w:val="000000"/>
          <w:kern w:val="0"/>
          <w:sz w:val="28"/>
          <w:szCs w:val="28"/>
        </w:rPr>
        <w:t>条的债权整体作价人民币</w:t>
      </w:r>
      <w:r>
        <w:rPr>
          <w:rFonts w:hint="eastAsia" w:ascii="宋体" w:hAnsi="宋体" w:cs="FSJ-PK7482000000b-Identity-H"/>
          <w:color w:val="000000"/>
          <w:kern w:val="0"/>
          <w:sz w:val="28"/>
          <w:szCs w:val="28"/>
          <w:u w:val="single"/>
        </w:rPr>
        <w:t xml:space="preserve">               </w:t>
      </w:r>
      <w:r>
        <w:rPr>
          <w:rFonts w:hint="eastAsia" w:ascii="宋体" w:hAnsi="宋体" w:cs="FSJ-PK7482000000b-Identity-H"/>
          <w:color w:val="000000"/>
          <w:kern w:val="0"/>
          <w:sz w:val="28"/>
          <w:szCs w:val="28"/>
        </w:rPr>
        <w:t>元（小写：</w:t>
      </w:r>
      <w:r>
        <w:rPr>
          <w:rFonts w:hint="eastAsia" w:ascii="宋体" w:hAnsi="宋体" w:cs="E-BZ-PK74899-Identity-H"/>
          <w:color w:val="000000"/>
          <w:kern w:val="0"/>
          <w:sz w:val="28"/>
          <w:szCs w:val="28"/>
          <w:u w:val="single"/>
        </w:rPr>
        <w:t xml:space="preserve">￥                    </w:t>
      </w:r>
      <w:r>
        <w:rPr>
          <w:rFonts w:hint="eastAsia" w:ascii="宋体" w:hAnsi="宋体" w:cs="FSJ-PK7482000000b-Identity-H"/>
          <w:color w:val="000000"/>
          <w:kern w:val="0"/>
          <w:sz w:val="28"/>
          <w:szCs w:val="28"/>
        </w:rPr>
        <w:t>元）转让给乙方。</w:t>
      </w:r>
    </w:p>
    <w:p>
      <w:pPr>
        <w:autoSpaceDE w:val="0"/>
        <w:autoSpaceDN w:val="0"/>
        <w:adjustRightInd w:val="0"/>
        <w:ind w:firstLine="560" w:firstLineChars="200"/>
        <w:jc w:val="left"/>
        <w:rPr>
          <w:rFonts w:ascii="宋体" w:hAnsi="宋体" w:cs="FSJ-PK7482000000b-Identity-H"/>
          <w:color w:val="000000"/>
          <w:kern w:val="0"/>
          <w:sz w:val="28"/>
          <w:szCs w:val="28"/>
        </w:rPr>
      </w:pPr>
      <w:r>
        <w:rPr>
          <w:rFonts w:hint="eastAsia" w:ascii="宋体" w:hAnsi="宋体" w:cs="E-BZ-PK74899-Identity-H"/>
          <w:color w:val="000000"/>
          <w:kern w:val="0"/>
          <w:sz w:val="28"/>
          <w:szCs w:val="28"/>
        </w:rPr>
        <w:t xml:space="preserve">5. 2    </w:t>
      </w:r>
      <w:r>
        <w:rPr>
          <w:rFonts w:hint="eastAsia" w:ascii="宋体" w:hAnsi="宋体" w:cs="FSJ-PK7482000000b-Identity-H"/>
          <w:color w:val="000000"/>
          <w:kern w:val="0"/>
          <w:sz w:val="28"/>
          <w:szCs w:val="28"/>
        </w:rPr>
        <w:t>价款的支付方式</w:t>
      </w:r>
    </w:p>
    <w:p>
      <w:pPr>
        <w:autoSpaceDE w:val="0"/>
        <w:autoSpaceDN w:val="0"/>
        <w:adjustRightInd w:val="0"/>
        <w:ind w:firstLine="560" w:firstLineChars="200"/>
        <w:rPr>
          <w:rFonts w:ascii="仿宋_GB2312" w:hAnsi="宋体" w:eastAsia="仿宋_GB2312" w:cs="FSJ-PK7482000000b-Identity-H"/>
          <w:color w:val="000000"/>
          <w:kern w:val="0"/>
          <w:sz w:val="28"/>
          <w:szCs w:val="28"/>
        </w:rPr>
      </w:pPr>
      <w:r>
        <w:rPr>
          <w:rFonts w:hint="eastAsia" w:ascii="宋体" w:hAnsi="宋体" w:cs="FSJ-PK7482000000b-Identity-H"/>
          <w:color w:val="000000"/>
          <w:kern w:val="0"/>
          <w:sz w:val="28"/>
          <w:szCs w:val="28"/>
        </w:rPr>
        <w:t>乙方应于本协议签订之日起【5】个工作日内将转让价款，共计人民币</w:t>
      </w:r>
      <w:r>
        <w:rPr>
          <w:rFonts w:hint="eastAsia" w:ascii="宋体" w:hAnsi="宋体" w:cs="FSJ-PK7482000000b-Identity-H"/>
          <w:color w:val="000000"/>
          <w:kern w:val="0"/>
          <w:sz w:val="28"/>
          <w:szCs w:val="28"/>
          <w:u w:val="single"/>
        </w:rPr>
        <w:t xml:space="preserve">              </w:t>
      </w:r>
      <w:r>
        <w:rPr>
          <w:rFonts w:hint="eastAsia" w:ascii="宋体" w:hAnsi="宋体" w:cs="FSJ-PK7482000000b-Identity-H"/>
          <w:color w:val="000000"/>
          <w:kern w:val="0"/>
          <w:sz w:val="28"/>
          <w:szCs w:val="28"/>
        </w:rPr>
        <w:t>元（小写：（</w:t>
      </w:r>
      <w:r>
        <w:rPr>
          <w:rFonts w:hint="eastAsia" w:ascii="宋体" w:hAnsi="宋体" w:cs="E-BZ-PK74899-Identity-H"/>
          <w:color w:val="000000"/>
          <w:kern w:val="0"/>
          <w:sz w:val="28"/>
          <w:szCs w:val="28"/>
          <w:u w:val="single"/>
        </w:rPr>
        <w:t xml:space="preserve">￥              </w:t>
      </w:r>
      <w:r>
        <w:rPr>
          <w:rFonts w:hint="eastAsia" w:ascii="宋体" w:hAnsi="宋体" w:cs="FSJ-PK7482000000b-Identity-H"/>
          <w:color w:val="000000"/>
          <w:kern w:val="0"/>
          <w:sz w:val="28"/>
          <w:szCs w:val="28"/>
        </w:rPr>
        <w:t>元））, 按甲方与武汉光谷联合产权交易所约定的规则结算。</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cs="FSJ-PK7482000000b-Identity-H"/>
          <w:color w:val="000000"/>
          <w:kern w:val="0"/>
          <w:sz w:val="28"/>
          <w:szCs w:val="28"/>
        </w:rPr>
        <w:t>5.3 保证金的退还</w:t>
      </w:r>
    </w:p>
    <w:p>
      <w:pPr>
        <w:autoSpaceDE w:val="0"/>
        <w:autoSpaceDN w:val="0"/>
        <w:adjustRightInd w:val="0"/>
        <w:ind w:left="420" w:leftChars="200" w:firstLine="140" w:firstLineChars="50"/>
        <w:jc w:val="left"/>
        <w:rPr>
          <w:rFonts w:ascii="宋体" w:cs="FSJ-PK7482000000b-Identity-H"/>
          <w:color w:val="000000"/>
          <w:kern w:val="0"/>
          <w:sz w:val="28"/>
          <w:szCs w:val="28"/>
        </w:rPr>
      </w:pPr>
      <w:r>
        <w:rPr>
          <w:rFonts w:hint="eastAsia" w:ascii="宋体" w:cs="FSJ-PK7482000000b-Identity-H"/>
          <w:color w:val="000000"/>
          <w:kern w:val="0"/>
          <w:sz w:val="28"/>
          <w:szCs w:val="28"/>
        </w:rPr>
        <w:t>甲方应予受到乙方按照5.2条支付的转让价款后协调         交易所在［  ］个工作日内全额退回乙方已缴纳的保证金人民币</w:t>
      </w:r>
      <w:r>
        <w:rPr>
          <w:rFonts w:hint="eastAsia" w:ascii="宋体" w:cs="FSJ-PK7482000000b-Identity-H"/>
          <w:color w:val="000000"/>
          <w:kern w:val="0"/>
          <w:sz w:val="28"/>
          <w:szCs w:val="28"/>
          <w:u w:val="single"/>
        </w:rPr>
        <w:t xml:space="preserve">         </w:t>
      </w:r>
      <w:r>
        <w:rPr>
          <w:rFonts w:hint="eastAsia" w:ascii="宋体" w:cs="FSJ-PK7482000000b-Identity-H"/>
          <w:color w:val="000000"/>
          <w:kern w:val="0"/>
          <w:sz w:val="28"/>
          <w:szCs w:val="28"/>
        </w:rPr>
        <w:t>元整（小写</w:t>
      </w:r>
      <w:r>
        <w:rPr>
          <w:rFonts w:hint="eastAsia" w:ascii="宋体" w:cs="FSJ-PK7482000000b-Identity-H"/>
          <w:color w:val="000000"/>
          <w:kern w:val="0"/>
          <w:sz w:val="28"/>
          <w:szCs w:val="28"/>
          <w:u w:val="single"/>
        </w:rPr>
        <w:t xml:space="preserve">：           </w:t>
      </w:r>
      <w:r>
        <w:rPr>
          <w:rFonts w:hint="eastAsia" w:ascii="宋体" w:cs="FSJ-PK7482000000b-Identity-H"/>
          <w:color w:val="000000"/>
          <w:kern w:val="0"/>
          <w:sz w:val="28"/>
          <w:szCs w:val="28"/>
        </w:rPr>
        <w:t>元）。退回账户：</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cs="FSJ-PK7482000000b-Identity-H"/>
          <w:color w:val="000000"/>
          <w:kern w:val="0"/>
          <w:sz w:val="28"/>
          <w:szCs w:val="28"/>
        </w:rPr>
        <w:t xml:space="preserve">户名： </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cs="FSJ-PK7482000000b-Identity-H"/>
          <w:color w:val="000000"/>
          <w:kern w:val="0"/>
          <w:sz w:val="28"/>
          <w:szCs w:val="28"/>
        </w:rPr>
        <w:t xml:space="preserve">开户行： </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cs="FSJ-PK7482000000b-Identity-H"/>
          <w:color w:val="000000"/>
          <w:kern w:val="0"/>
          <w:sz w:val="28"/>
          <w:szCs w:val="28"/>
        </w:rPr>
        <w:t>账号：</w:t>
      </w:r>
    </w:p>
    <w:p>
      <w:pPr>
        <w:autoSpaceDE w:val="0"/>
        <w:autoSpaceDN w:val="0"/>
        <w:adjustRightInd w:val="0"/>
        <w:ind w:firstLine="560" w:firstLineChars="200"/>
        <w:jc w:val="left"/>
        <w:rPr>
          <w:rFonts w:ascii="宋体" w:cs="E-BZ-PK74899-Identity-H"/>
          <w:color w:val="000000"/>
          <w:kern w:val="0"/>
          <w:sz w:val="28"/>
          <w:szCs w:val="28"/>
        </w:rPr>
      </w:pPr>
      <w:r>
        <w:rPr>
          <w:rFonts w:ascii="宋体" w:hAnsi="宋体" w:cs="E-BZ-PK74899-Identity-H"/>
          <w:color w:val="000000"/>
          <w:kern w:val="0"/>
          <w:sz w:val="28"/>
          <w:szCs w:val="28"/>
        </w:rPr>
        <w:t>5.</w:t>
      </w:r>
      <w:r>
        <w:rPr>
          <w:rFonts w:hint="eastAsia" w:ascii="宋体" w:hAnsi="宋体" w:cs="E-BZ-PK74899-Identity-H"/>
          <w:color w:val="000000"/>
          <w:kern w:val="0"/>
          <w:sz w:val="28"/>
          <w:szCs w:val="28"/>
        </w:rPr>
        <w:t>4 基准日后因标的债权应支付的案件受理费、评估费、拍卖费、执行费、律师代理费等实现债权的费用由乙方承担。</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６　</w:t>
      </w:r>
      <w:r>
        <w:rPr>
          <w:rFonts w:hint="eastAsia" w:ascii="宋体" w:hAnsi="宋体" w:cs="FSJ-PK7482000000b-Identity-H"/>
          <w:color w:val="000000"/>
          <w:kern w:val="0"/>
          <w:sz w:val="28"/>
          <w:szCs w:val="28"/>
        </w:rPr>
        <w:t>风险的转移</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自乙方支付完毕全部转让价款之日起，标的债权的风险转移给乙方。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　</w:t>
      </w:r>
      <w:r>
        <w:rPr>
          <w:rFonts w:hint="eastAsia" w:ascii="宋体" w:hAnsi="宋体" w:cs="FSJ-PK7482000000b-Identity-H"/>
          <w:color w:val="000000"/>
          <w:kern w:val="0"/>
          <w:sz w:val="28"/>
          <w:szCs w:val="28"/>
        </w:rPr>
        <w:t>标的债权的转移、交付与公告</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标的债权的转移</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双方确认，在乙方支付完毕全部转让价款之日，标的债权从甲方转移至乙方。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双方确认，在权利转移日前，标的债权仍归甲方所有，甲方按照本合同的约定对标的债权进行管理。</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３　</w:t>
      </w:r>
      <w:r>
        <w:rPr>
          <w:rFonts w:hint="eastAsia" w:ascii="宋体" w:hAnsi="宋体" w:cs="FSJ-PK7482000000b-Identity-H"/>
          <w:color w:val="000000"/>
          <w:kern w:val="0"/>
          <w:sz w:val="28"/>
          <w:szCs w:val="28"/>
        </w:rPr>
        <w:t>双方确认，在权利转移日后，标的债权归乙方所有。如需要办理相关手续的（包括但不限于诉讼、执行主体及相关担保权利登记等由甲方变更为乙方），由乙方负责办理，甲方予以积极配合，费用由乙方承担。</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４　</w:t>
      </w:r>
      <w:r>
        <w:rPr>
          <w:rFonts w:hint="eastAsia" w:ascii="宋体" w:hAnsi="宋体" w:cs="FSJ-PK7482000000b-Identity-H"/>
          <w:color w:val="000000"/>
          <w:kern w:val="0"/>
          <w:sz w:val="28"/>
          <w:szCs w:val="28"/>
        </w:rPr>
        <w:t>在乙方支付完毕全部转让价款的前提下，甲方在过渡期和交接期间因管理标的债权所产生的收益（包括现金、抵债资产等），由乙方享有。</w:t>
      </w:r>
    </w:p>
    <w:p>
      <w:pPr>
        <w:autoSpaceDE w:val="0"/>
        <w:autoSpaceDN w:val="0"/>
        <w:adjustRightInd w:val="0"/>
        <w:ind w:firstLine="560" w:firstLineChars="200"/>
        <w:jc w:val="left"/>
        <w:rPr>
          <w:rFonts w:ascii="宋体" w:hAnsi="宋体" w:cs="FSJ-PK7482000000b-Identity-H"/>
          <w:color w:val="000000"/>
          <w:kern w:val="0"/>
          <w:sz w:val="28"/>
          <w:szCs w:val="28"/>
        </w:rPr>
      </w:pPr>
      <w:bookmarkStart w:id="0" w:name="_Ref128676568"/>
      <w:r>
        <w:rPr>
          <w:rFonts w:hint="eastAsia" w:ascii="宋体" w:hAnsi="宋体" w:cs="FSJ-PK7482000000b-Identity-H"/>
          <w:color w:val="000000"/>
          <w:kern w:val="0"/>
          <w:sz w:val="28"/>
          <w:szCs w:val="28"/>
        </w:rPr>
        <w:t>7.2  文件的交付</w:t>
      </w:r>
      <w:bookmarkEnd w:id="0"/>
    </w:p>
    <w:p>
      <w:pPr>
        <w:autoSpaceDE w:val="0"/>
        <w:autoSpaceDN w:val="0"/>
        <w:adjustRightInd w:val="0"/>
        <w:ind w:firstLine="560" w:firstLineChars="200"/>
        <w:jc w:val="left"/>
        <w:rPr>
          <w:rFonts w:ascii="宋体" w:hAnsi="宋体" w:cs="E-BZ-PK74899-Identity-H"/>
          <w:color w:val="000000"/>
          <w:kern w:val="0"/>
          <w:sz w:val="28"/>
          <w:szCs w:val="28"/>
        </w:rPr>
      </w:pPr>
      <w:bookmarkStart w:id="1" w:name="_Ref128675769"/>
      <w:r>
        <w:rPr>
          <w:rFonts w:hint="eastAsia" w:ascii="宋体" w:hAnsi="宋体" w:cs="E-BZ-PK74899-Identity-H"/>
          <w:color w:val="000000"/>
          <w:kern w:val="0"/>
          <w:sz w:val="28"/>
          <w:szCs w:val="28"/>
        </w:rPr>
        <w:t>7.2.1 在交接期间内，双方应商定时间和地点审阅并清点资产文件、共同编制、核对资产文件清单</w:t>
      </w:r>
      <w:bookmarkEnd w:id="1"/>
      <w:bookmarkStart w:id="2" w:name="_Ref128675653"/>
      <w:r>
        <w:rPr>
          <w:rFonts w:hint="eastAsia" w:ascii="宋体" w:hAnsi="宋体" w:cs="E-BZ-PK74899-Identity-H"/>
          <w:color w:val="000000"/>
          <w:kern w:val="0"/>
          <w:sz w:val="28"/>
          <w:szCs w:val="28"/>
        </w:rPr>
        <w:t>；资产文件核对完毕后，甲方应向乙方交付资产文件及经双方共同签署的资产文件清单。</w:t>
      </w:r>
      <w:bookmarkEnd w:id="2"/>
    </w:p>
    <w:p>
      <w:pPr>
        <w:autoSpaceDE w:val="0"/>
        <w:autoSpaceDN w:val="0"/>
        <w:adjustRightInd w:val="0"/>
        <w:ind w:firstLine="560" w:firstLineChars="200"/>
        <w:jc w:val="left"/>
        <w:rPr>
          <w:rFonts w:ascii="宋体" w:hAnsi="宋体" w:cs="E-BZ-PK74899-Identity-H"/>
          <w:color w:val="000000"/>
          <w:kern w:val="0"/>
          <w:sz w:val="28"/>
          <w:szCs w:val="28"/>
        </w:rPr>
      </w:pPr>
      <w:r>
        <w:rPr>
          <w:rFonts w:hint="eastAsia" w:ascii="宋体" w:hAnsi="宋体" w:cs="E-BZ-PK74899-Identity-H"/>
          <w:color w:val="000000"/>
          <w:kern w:val="0"/>
          <w:sz w:val="28"/>
          <w:szCs w:val="28"/>
        </w:rPr>
        <w:t>7.2.2 自权利转移日至交接日产生的资产文件、账单、发票、保险单、信函或其他文件，甲方应于交接日一并交予乙方。</w:t>
      </w:r>
    </w:p>
    <w:p>
      <w:pPr>
        <w:autoSpaceDE w:val="0"/>
        <w:autoSpaceDN w:val="0"/>
        <w:adjustRightInd w:val="0"/>
        <w:ind w:firstLine="560" w:firstLineChars="200"/>
        <w:jc w:val="left"/>
        <w:rPr>
          <w:rFonts w:ascii="宋体" w:hAnsi="宋体" w:cs="E-BZ-PK74899-Identity-H"/>
          <w:color w:val="000000"/>
          <w:kern w:val="0"/>
          <w:sz w:val="28"/>
          <w:szCs w:val="28"/>
        </w:rPr>
      </w:pPr>
      <w:r>
        <w:rPr>
          <w:rFonts w:hint="eastAsia" w:ascii="宋体" w:hAnsi="宋体" w:cs="E-BZ-PK74899-Identity-H"/>
          <w:color w:val="000000"/>
          <w:kern w:val="0"/>
          <w:sz w:val="28"/>
          <w:szCs w:val="28"/>
        </w:rPr>
        <w:t>7.2.3 甲方于交接期间以后收到的资产文件、账单、发票、保险单、信函或其他文件后，应于【 】个工作日内将原件交付给乙方。</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7.3 抵、质押资产的交付</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3</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w:t>
      </w:r>
      <w:r>
        <w:rPr>
          <w:rFonts w:hint="eastAsia" w:ascii="宋体" w:hAnsi="宋体" w:cs="FSJ-PK7482000000b-Identity-H"/>
          <w:color w:val="000000"/>
          <w:kern w:val="0"/>
          <w:sz w:val="28"/>
          <w:szCs w:val="28"/>
        </w:rPr>
        <w:t>在交接期间内，甲方应向乙方交付抵、质押资产的权属证明（包括抵、质押资产的他权证书、人民法院生效判决等）。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3</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在交接时，甲方实际占有并有效控制抵、质押资产的，甲方应向乙方转移占有。</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７</w:t>
      </w:r>
      <w:r>
        <w:rPr>
          <w:rFonts w:ascii="宋体" w:hAnsi="宋体" w:cs="E-BZ-PK74899-Identity-H"/>
          <w:color w:val="000000"/>
          <w:kern w:val="0"/>
          <w:sz w:val="28"/>
          <w:szCs w:val="28"/>
        </w:rPr>
        <w:t>.</w:t>
      </w:r>
      <w:r>
        <w:rPr>
          <w:rFonts w:hint="eastAsia" w:ascii="宋体" w:hAnsi="宋体" w:cs="E-BZ-PK74899-Identity-H"/>
          <w:color w:val="000000"/>
          <w:kern w:val="0"/>
          <w:sz w:val="28"/>
          <w:szCs w:val="28"/>
        </w:rPr>
        <w:t>3</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３　甲方享有标的债权的担保权利的，应协助乙方作为新债权人行使担保权利。</w:t>
      </w:r>
      <w:r>
        <w:rPr>
          <w:rFonts w:hint="eastAsia" w:ascii="宋体" w:hAnsi="宋体" w:cs="FSJ-PK7482000000b-Identity-H"/>
          <w:color w:val="000000"/>
          <w:kern w:val="0"/>
          <w:sz w:val="28"/>
          <w:szCs w:val="28"/>
        </w:rPr>
        <w:t>如果抵、质押资产在法院拍卖时流拍，且乙方同意接受拍卖资产的，甲方应协助或配合将抵、质押的资产变更登记到乙方名下（包括但不限于房产证和土地证的过户），费用由乙方负担。</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7.</w:t>
      </w:r>
      <w:r>
        <w:rPr>
          <w:rFonts w:hint="eastAsia" w:ascii="宋体" w:hAnsi="宋体" w:cs="E-BZ-PK74899-Identity-H"/>
          <w:color w:val="000000"/>
          <w:kern w:val="0"/>
          <w:sz w:val="28"/>
          <w:szCs w:val="28"/>
        </w:rPr>
        <w:t>4　</w:t>
      </w:r>
      <w:r>
        <w:rPr>
          <w:rFonts w:hint="eastAsia" w:ascii="宋体" w:hAnsi="宋体" w:cs="FSJ-PK7482000000b-Identity-H"/>
          <w:color w:val="000000"/>
          <w:kern w:val="0"/>
          <w:sz w:val="28"/>
          <w:szCs w:val="28"/>
        </w:rPr>
        <w:t>标的债权转让公告</w:t>
      </w:r>
    </w:p>
    <w:p>
      <w:pPr>
        <w:autoSpaceDE w:val="0"/>
        <w:autoSpaceDN w:val="0"/>
        <w:adjustRightInd w:val="0"/>
        <w:ind w:firstLine="560" w:firstLineChars="20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甲乙双方应于公告日在省级或市级报纸上或相关网站联合发布标的债权转让公告，通知债务人和</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或担保人。公告费用由</w:t>
      </w:r>
      <w:r>
        <w:rPr>
          <w:rFonts w:hint="eastAsia" w:ascii="宋体" w:hAnsi="宋体" w:cs="E-BZ-PK74899-Identity-H"/>
          <w:color w:val="000000"/>
          <w:kern w:val="0"/>
          <w:sz w:val="28"/>
          <w:szCs w:val="28"/>
        </w:rPr>
        <w:t>甲、乙双方共同</w:t>
      </w:r>
      <w:r>
        <w:rPr>
          <w:rFonts w:hint="eastAsia" w:ascii="宋体" w:hAnsi="宋体" w:cs="FSJ-PK7482000000b-Identity-H"/>
          <w:color w:val="000000"/>
          <w:kern w:val="0"/>
          <w:sz w:val="28"/>
          <w:szCs w:val="28"/>
        </w:rPr>
        <w:t>承担，各付50%。</w:t>
      </w:r>
    </w:p>
    <w:p>
      <w:pPr>
        <w:autoSpaceDE w:val="0"/>
        <w:autoSpaceDN w:val="0"/>
        <w:adjustRightInd w:val="0"/>
        <w:ind w:firstLine="560" w:firstLineChars="200"/>
        <w:jc w:val="left"/>
        <w:rPr>
          <w:rFonts w:ascii="宋体" w:hAnsi="宋体" w:cs="FSJ-PK7482000000b-Identity-H"/>
          <w:color w:val="000000"/>
          <w:kern w:val="0"/>
          <w:sz w:val="28"/>
          <w:szCs w:val="28"/>
        </w:rPr>
      </w:pPr>
      <w:bookmarkStart w:id="3" w:name="_Ref234382688"/>
      <w:r>
        <w:rPr>
          <w:rFonts w:hint="eastAsia" w:ascii="宋体" w:hAnsi="宋体" w:cs="FSJ-PK7482000000b-Identity-H"/>
          <w:color w:val="000000"/>
          <w:kern w:val="0"/>
          <w:sz w:val="28"/>
          <w:szCs w:val="28"/>
        </w:rPr>
        <w:t>7.5  单户资产转让协议</w:t>
      </w:r>
      <w:bookmarkEnd w:id="3"/>
    </w:p>
    <w:p>
      <w:pPr>
        <w:autoSpaceDE w:val="0"/>
        <w:autoSpaceDN w:val="0"/>
        <w:adjustRightInd w:val="0"/>
        <w:ind w:firstLine="560" w:firstLineChars="200"/>
        <w:jc w:val="left"/>
        <w:rPr>
          <w:rFonts w:ascii="宋体" w:hAnsi="宋体" w:cs="FSJ-PK7482000000b-Identity-H"/>
          <w:color w:val="000000"/>
          <w:kern w:val="0"/>
          <w:sz w:val="28"/>
          <w:szCs w:val="28"/>
        </w:rPr>
      </w:pPr>
      <w:r>
        <w:rPr>
          <w:rFonts w:hint="eastAsia" w:ascii="宋体" w:hAnsi="宋体" w:cs="FSJ-PK7482000000b-Identity-H"/>
          <w:color w:val="000000"/>
          <w:kern w:val="0"/>
          <w:sz w:val="28"/>
          <w:szCs w:val="28"/>
        </w:rPr>
        <w:t>双方应当在交接期间内签订单户资产转让协议。除此之外，在本协议签订后的任何时间，甲乙双方协商一致后可签订或提供与标的资产相关的文件（包括但不限于补充协议、情况说明、资产文件）。</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８　</w:t>
      </w:r>
      <w:r>
        <w:rPr>
          <w:rFonts w:hint="eastAsia" w:ascii="宋体" w:hAnsi="宋体" w:cs="FSJ-PK7482000000b-Identity-H"/>
          <w:color w:val="000000"/>
          <w:kern w:val="0"/>
          <w:sz w:val="28"/>
          <w:szCs w:val="28"/>
        </w:rPr>
        <w:t>过渡期标的债权的管理</w:t>
      </w:r>
    </w:p>
    <w:p>
      <w:pPr>
        <w:autoSpaceDE w:val="0"/>
        <w:autoSpaceDN w:val="0"/>
        <w:adjustRightInd w:val="0"/>
        <w:ind w:firstLine="560" w:firstLineChars="200"/>
        <w:jc w:val="left"/>
        <w:rPr>
          <w:rFonts w:ascii="宋体" w:hAnsi="宋体" w:cs="E-BZ-PK74899-Identity-H"/>
          <w:color w:val="000000"/>
          <w:kern w:val="0"/>
          <w:sz w:val="28"/>
          <w:szCs w:val="28"/>
        </w:rPr>
      </w:pPr>
      <w:r>
        <w:rPr>
          <w:rFonts w:hint="eastAsia" w:ascii="宋体" w:hAnsi="宋体" w:cs="E-BZ-PK74899-Identity-H"/>
          <w:color w:val="000000"/>
          <w:kern w:val="0"/>
          <w:sz w:val="28"/>
          <w:szCs w:val="28"/>
        </w:rPr>
        <w:t>８</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１　甲</w:t>
      </w:r>
      <w:r>
        <w:rPr>
          <w:rFonts w:ascii="宋体" w:hAnsi="宋体" w:cs="E-BZ-PK74899-Identity-H"/>
          <w:color w:val="000000"/>
          <w:kern w:val="0"/>
          <w:sz w:val="28"/>
          <w:szCs w:val="28"/>
        </w:rPr>
        <w:t>方保证其在过渡期</w:t>
      </w:r>
      <w:r>
        <w:rPr>
          <w:rFonts w:hint="eastAsia" w:ascii="宋体" w:hAnsi="宋体" w:cs="E-BZ-PK74899-Identity-H"/>
          <w:color w:val="000000"/>
          <w:kern w:val="0"/>
          <w:sz w:val="28"/>
          <w:szCs w:val="28"/>
        </w:rPr>
        <w:t>及交接期间</w:t>
      </w:r>
      <w:r>
        <w:rPr>
          <w:rFonts w:ascii="宋体" w:hAnsi="宋体" w:cs="E-BZ-PK74899-Identity-H"/>
          <w:color w:val="000000"/>
          <w:kern w:val="0"/>
          <w:sz w:val="28"/>
          <w:szCs w:val="28"/>
        </w:rPr>
        <w:t>内按照下列原则管理和处置标的债权资产：（1）以不低于其合法所有的其他类似资产管理和处置过程中的通常标准进行管理和处置；（2）</w:t>
      </w:r>
      <w:r>
        <w:rPr>
          <w:rFonts w:hint="eastAsia" w:ascii="宋体" w:hAnsi="宋体" w:cs="E-BZ-PK74899-Identity-H"/>
          <w:color w:val="000000"/>
          <w:kern w:val="0"/>
          <w:sz w:val="28"/>
          <w:szCs w:val="28"/>
        </w:rPr>
        <w:t>依法合规且</w:t>
      </w:r>
      <w:r>
        <w:rPr>
          <w:rFonts w:ascii="宋体" w:hAnsi="宋体" w:cs="E-BZ-PK74899-Identity-H"/>
          <w:color w:val="000000"/>
          <w:kern w:val="0"/>
          <w:sz w:val="28"/>
          <w:szCs w:val="28"/>
        </w:rPr>
        <w:t>合理适当</w:t>
      </w:r>
      <w:r>
        <w:rPr>
          <w:rFonts w:hint="eastAsia" w:ascii="宋体" w:hAnsi="宋体" w:cs="E-BZ-PK74899-Identity-H"/>
          <w:color w:val="000000"/>
          <w:kern w:val="0"/>
          <w:sz w:val="28"/>
          <w:szCs w:val="28"/>
        </w:rPr>
        <w:t>。</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８</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２　</w:t>
      </w:r>
      <w:r>
        <w:rPr>
          <w:rFonts w:hint="eastAsia" w:ascii="宋体" w:hAnsi="宋体" w:cs="FSJ-PK7482000000b-Identity-H"/>
          <w:color w:val="000000"/>
          <w:kern w:val="0"/>
          <w:sz w:val="28"/>
          <w:szCs w:val="28"/>
        </w:rPr>
        <w:t>在过渡期内，甲方应对标的债权涉及相应诉讼时效和</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或法定期间进行维护。</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８</w:t>
      </w:r>
      <w:r>
        <w:rPr>
          <w:rFonts w:ascii="宋体" w:hAnsi="宋体" w:cs="E-BZ-PK74899-Identity-H"/>
          <w:color w:val="000000"/>
          <w:kern w:val="0"/>
          <w:sz w:val="28"/>
          <w:szCs w:val="28"/>
        </w:rPr>
        <w:t>.</w:t>
      </w:r>
      <w:r>
        <w:rPr>
          <w:rFonts w:hint="eastAsia" w:ascii="宋体" w:hAnsi="宋体" w:cs="E-BZ-PK74899-Identity-H"/>
          <w:color w:val="000000"/>
          <w:kern w:val="0"/>
          <w:sz w:val="28"/>
          <w:szCs w:val="28"/>
        </w:rPr>
        <w:t>３　</w:t>
      </w:r>
      <w:r>
        <w:rPr>
          <w:rFonts w:hint="eastAsia" w:ascii="宋体" w:hAnsi="宋体" w:cs="FSJ-PK7482000000b-Identity-H"/>
          <w:color w:val="000000"/>
          <w:kern w:val="0"/>
          <w:sz w:val="28"/>
          <w:szCs w:val="28"/>
        </w:rPr>
        <w:t>在过渡期内，甲方因管理处置和维护标的债权而产生的相关费用（包括但不限于：）由乙方承担，甲方应提供相关费用的有效证明（复印件）。</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声明与保证</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甲方的声明和保证</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9.1.1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签约和履约资格保证：甲方保证具有签署本合同的主体资格，并已获得签署和履行本合同的相应授权或批准。</w:t>
      </w:r>
    </w:p>
    <w:p>
      <w:pPr>
        <w:autoSpaceDE w:val="0"/>
        <w:autoSpaceDN w:val="0"/>
        <w:adjustRightInd w:val="0"/>
        <w:ind w:firstLine="560" w:firstLineChars="200"/>
        <w:jc w:val="left"/>
        <w:rPr>
          <w:rFonts w:ascii="宋体" w:hAnsi="宋体" w:cs="FSJ-PK7482000000b-Identity-H"/>
          <w:color w:val="000000"/>
          <w:kern w:val="0"/>
          <w:sz w:val="28"/>
          <w:szCs w:val="28"/>
        </w:rPr>
      </w:pPr>
      <w:r>
        <w:rPr>
          <w:rFonts w:ascii="宋体" w:hAnsi="宋体" w:cs="E-BZ-PK74899-Identity-H"/>
          <w:color w:val="000000"/>
          <w:kern w:val="0"/>
          <w:sz w:val="28"/>
          <w:szCs w:val="28"/>
        </w:rPr>
        <w:t>9.1.2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非欺骗保证：甲方保证在持有标的债权期间没有伪造任何文件，在本次交易中没有故意向乙方提供（书面或口头）任何虚假、误导信息。甲方保证已向乙方披露（在向乙方提供的书面披露材料中披露或以其他书面形式披露）任何和所有本合同第2条中提到的、在本合同签订时实际存在且甲方知晓的有关标的债权的瑕疵；和/或已向乙方提供可能与标的债权该等瑕疵有关，且甲方实际持有的标的债权文件。</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9.1.3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不冲突保证：甲方签署并履行本合同不与由其签署的任何已生效的契约性法律文件规定的义务相冲突。</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乙方的声明和保证</w:t>
      </w:r>
    </w:p>
    <w:p>
      <w:pPr>
        <w:autoSpaceDE w:val="0"/>
        <w:autoSpaceDN w:val="0"/>
        <w:adjustRightInd w:val="0"/>
        <w:ind w:firstLine="560" w:firstLineChars="200"/>
        <w:jc w:val="left"/>
        <w:rPr>
          <w:rFonts w:ascii="宋体" w:hAnsi="宋体" w:cs="FSJ-PK7482000000b-Identity-H"/>
          <w:color w:val="000000"/>
          <w:kern w:val="0"/>
          <w:sz w:val="28"/>
          <w:szCs w:val="28"/>
        </w:rPr>
      </w:pPr>
      <w:r>
        <w:rPr>
          <w:rFonts w:ascii="宋体" w:hAnsi="宋体" w:cs="E-BZ-PK74899-Identity-H"/>
          <w:color w:val="000000"/>
          <w:kern w:val="0"/>
          <w:sz w:val="28"/>
          <w:szCs w:val="28"/>
        </w:rPr>
        <w:t>9.2.1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签约和履约资格保证：乙方系一家依据中国法律合法设立并有效存续的金融资产管理公司分支机构，具有签订和履行本协议及所有相关文件的主体资格，已获得签订和履行本合同及所有相关文件的相应授权或批准。不存在任何诉讼、仲裁或其他司法或者行政程序，以致给乙方履行本合同造成重大不利影响。</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非欺骗保证：乙方保证其为签署、履行本合同而向甲方提供的所有证明、文件、资料和信息，均在提供资料的当日和适用</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使用期内是真实、准确和完整的，不存在故意隐瞒和欺骗的情况。</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不冲突保证：乙方签署并履行本合同不与由其签署的任何已生效的契约性法律文件规定的义务相冲突。</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9.2.4</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审慎调查和独立判断保证：乙方确认，基于标的债权的特殊性，甲方就标的债权只进行现状出售，乙方独立判断标的债权法律上的有效性和商业价值。在本合同签署前，乙方已经认真审阅了截至基准日的标的债权文件，对标的债权的现状进行了审慎的调查，乙方完全接受并知悉标的债权的所有风险、瑕疵。</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9.2.5</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乙方特别承诺</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乙方同意并保证，如果标的债权中存在能够追究中国各级政府及其有关行政部门任何法律责任的权利，乙方承诺自权利转移日起自动全部放弃该等权利，并不以任何方式向中国各级政府及其有关行政部门追究任何法律责任，同时保证不对外披露及做出有损于中国外债偿还信誉的行为，且保证其后手遵循该规定。</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9.2.6</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依法行使权利保证：乙方保证严格按照相关法律、法规、政策的规定，对受让的标的债权行使权利。</w:t>
      </w:r>
    </w:p>
    <w:p>
      <w:pPr>
        <w:autoSpaceDE w:val="0"/>
        <w:autoSpaceDN w:val="0"/>
        <w:adjustRightInd w:val="0"/>
        <w:ind w:firstLine="560" w:firstLineChars="200"/>
        <w:jc w:val="left"/>
        <w:rPr>
          <w:rFonts w:ascii="宋体" w:hAnsi="宋体" w:cs="E-BZ-PK74899-Identity-H"/>
          <w:color w:val="000000"/>
          <w:kern w:val="0"/>
          <w:sz w:val="28"/>
          <w:szCs w:val="28"/>
          <w:u w:val="single"/>
        </w:rPr>
      </w:pPr>
      <w:r>
        <w:rPr>
          <w:rFonts w:ascii="宋体" w:hAnsi="宋体" w:cs="E-BZ-PK74899-Identity-H"/>
          <w:color w:val="000000"/>
          <w:kern w:val="0"/>
          <w:sz w:val="28"/>
          <w:szCs w:val="28"/>
        </w:rPr>
        <w:t>10</w:t>
      </w:r>
      <w:r>
        <w:rPr>
          <w:rFonts w:hint="eastAsia" w:ascii="宋体" w:hAnsi="宋体" w:cs="E-BZ-PK74899-Identity-H"/>
          <w:color w:val="000000"/>
          <w:kern w:val="0"/>
          <w:sz w:val="28"/>
          <w:szCs w:val="28"/>
        </w:rPr>
        <w:t xml:space="preserve">  本协议项下标的资产在</w:t>
      </w:r>
      <w:r>
        <w:rPr>
          <w:rFonts w:hint="eastAsia" w:ascii="宋体" w:hAnsi="宋体" w:cs="E-BZ-PK74899-Identity-H"/>
          <w:color w:val="000000"/>
          <w:kern w:val="0"/>
          <w:sz w:val="28"/>
          <w:szCs w:val="28"/>
          <w:u w:val="single"/>
        </w:rPr>
        <w:t xml:space="preserve">               </w:t>
      </w:r>
      <w:r>
        <w:rPr>
          <w:rFonts w:hint="eastAsia" w:ascii="宋体" w:hAnsi="宋体" w:cs="E-BZ-PK74899-Identity-H"/>
          <w:color w:val="000000"/>
          <w:kern w:val="0"/>
          <w:sz w:val="28"/>
          <w:szCs w:val="28"/>
        </w:rPr>
        <w:t>交易所交易产生的</w:t>
      </w:r>
      <w:r>
        <w:rPr>
          <w:rFonts w:hint="eastAsia" w:ascii="宋体" w:hAnsi="宋体" w:cs="E-BZ-PK74899-Identity-H"/>
          <w:color w:val="000000"/>
          <w:kern w:val="0"/>
          <w:sz w:val="28"/>
          <w:szCs w:val="28"/>
          <w:u w:val="single"/>
        </w:rPr>
        <w:t xml:space="preserve">    </w:t>
      </w:r>
    </w:p>
    <w:p>
      <w:pPr>
        <w:autoSpaceDE w:val="0"/>
        <w:autoSpaceDN w:val="0"/>
        <w:adjustRightInd w:val="0"/>
        <w:jc w:val="left"/>
        <w:rPr>
          <w:rFonts w:ascii="宋体" w:hAnsi="宋体" w:cs="E-BZ-PK74899-Identity-H"/>
          <w:color w:val="000000"/>
          <w:kern w:val="0"/>
          <w:sz w:val="28"/>
          <w:szCs w:val="28"/>
        </w:rPr>
      </w:pPr>
      <w:r>
        <w:rPr>
          <w:rFonts w:hint="eastAsia" w:ascii="宋体" w:hAnsi="宋体" w:cs="E-BZ-PK74899-Identity-H"/>
          <w:color w:val="000000"/>
          <w:kern w:val="0"/>
          <w:sz w:val="28"/>
          <w:szCs w:val="28"/>
        </w:rPr>
        <w:t>费由</w:t>
      </w:r>
      <w:r>
        <w:rPr>
          <w:rFonts w:hint="eastAsia" w:ascii="宋体" w:hAnsi="宋体" w:cs="E-BZ-PK74899-Identity-H"/>
          <w:color w:val="000000"/>
          <w:kern w:val="0"/>
          <w:sz w:val="28"/>
          <w:szCs w:val="28"/>
          <w:lang w:val="en-US" w:eastAsia="zh-CN"/>
        </w:rPr>
        <w:t>均由甲方承担</w:t>
      </w:r>
      <w:r>
        <w:rPr>
          <w:rFonts w:hint="eastAsia" w:ascii="宋体" w:hAnsi="宋体" w:cs="E-BZ-PK74899-Identity-H"/>
          <w:color w:val="000000"/>
          <w:kern w:val="0"/>
          <w:sz w:val="28"/>
          <w:szCs w:val="28"/>
        </w:rPr>
        <w:t>。</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11  </w:t>
      </w:r>
      <w:r>
        <w:rPr>
          <w:rFonts w:hint="eastAsia" w:ascii="宋体" w:hAnsi="宋体" w:cs="FSJ-PK7482000000b-Identity-H"/>
          <w:color w:val="000000"/>
          <w:kern w:val="0"/>
          <w:sz w:val="28"/>
          <w:szCs w:val="28"/>
        </w:rPr>
        <w:t>违约责任</w:t>
      </w:r>
      <w:bookmarkStart w:id="8" w:name="_GoBack"/>
      <w:bookmarkEnd w:id="8"/>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11.1  </w:t>
      </w:r>
      <w:r>
        <w:rPr>
          <w:rFonts w:hint="eastAsia" w:ascii="宋体" w:hAnsi="宋体" w:cs="FSJ-PK7482000000b-Identity-H"/>
          <w:color w:val="000000"/>
          <w:kern w:val="0"/>
          <w:sz w:val="28"/>
          <w:szCs w:val="28"/>
        </w:rPr>
        <w:t>甲方的违约责任</w:t>
      </w:r>
    </w:p>
    <w:p>
      <w:pPr>
        <w:autoSpaceDE w:val="0"/>
        <w:autoSpaceDN w:val="0"/>
        <w:adjustRightInd w:val="0"/>
        <w:ind w:firstLine="560" w:firstLineChars="200"/>
        <w:rPr>
          <w:rFonts w:ascii="宋体" w:hAnsi="宋体" w:cs="FSJ-PK7482000000b-Identity-H"/>
          <w:color w:val="000000"/>
          <w:kern w:val="0"/>
          <w:sz w:val="28"/>
          <w:szCs w:val="28"/>
        </w:rPr>
      </w:pPr>
      <w:r>
        <w:rPr>
          <w:rFonts w:ascii="宋体" w:hAnsi="宋体" w:cs="E-BZ-PK74899-Identity-H"/>
          <w:color w:val="000000"/>
          <w:kern w:val="0"/>
          <w:sz w:val="28"/>
          <w:szCs w:val="28"/>
        </w:rPr>
        <w:t xml:space="preserve">11.1.1 </w:t>
      </w:r>
      <w:r>
        <w:rPr>
          <w:rFonts w:hint="eastAsia" w:ascii="宋体" w:hAnsi="宋体" w:cs="FSJ-PK7482000000b-Identity-H"/>
          <w:color w:val="000000"/>
          <w:kern w:val="0"/>
          <w:sz w:val="28"/>
          <w:szCs w:val="28"/>
        </w:rPr>
        <w:t>如果甲方有过错且严重违反本合同第</w:t>
      </w:r>
      <w:r>
        <w:rPr>
          <w:rFonts w:hint="eastAsia" w:ascii="宋体" w:hAnsi="宋体" w:cs="E-BZ-PK74899-Identity-H"/>
          <w:color w:val="000000"/>
          <w:kern w:val="0"/>
          <w:sz w:val="28"/>
          <w:szCs w:val="28"/>
        </w:rPr>
        <w:t>７条、第8条</w:t>
      </w:r>
      <w:r>
        <w:rPr>
          <w:rFonts w:hint="eastAsia" w:ascii="宋体" w:hAnsi="宋体" w:cs="FSJ-PK7482000000b-Identity-H"/>
          <w:color w:val="000000"/>
          <w:kern w:val="0"/>
          <w:sz w:val="28"/>
          <w:szCs w:val="28"/>
        </w:rPr>
        <w:t>约定的主要义务，导致乙方主要权利不能行使，且在接到乙方发出的违约催告通知后（</w:t>
      </w:r>
      <w:r>
        <w:rPr>
          <w:rFonts w:hint="eastAsia" w:ascii="宋体" w:hAnsi="宋体" w:cs="E-BZ-PK74899-Identity-H"/>
          <w:color w:val="000000"/>
          <w:kern w:val="0"/>
          <w:sz w:val="28"/>
          <w:szCs w:val="28"/>
        </w:rPr>
        <w:t>９０</w:t>
      </w:r>
      <w:r>
        <w:rPr>
          <w:rFonts w:hint="eastAsia" w:ascii="宋体" w:hAnsi="宋体" w:cs="FSJ-PK7482000000b-Identity-H"/>
          <w:color w:val="000000"/>
          <w:kern w:val="0"/>
          <w:sz w:val="28"/>
          <w:szCs w:val="28"/>
        </w:rPr>
        <w:t>）日内，甲方仍旧不能消除违约情形，则乙方有权解除本合同，甲方应退还乙方已经支付的转让价款并支付违约金，违约金数额为损失价款的（ ）</w:t>
      </w:r>
      <w:r>
        <w:rPr>
          <w:rFonts w:hint="eastAsia" w:ascii="宋体" w:hAnsi="宋体" w:cs="E-BZ-PK74899-Identity-H"/>
          <w:color w:val="000000"/>
          <w:kern w:val="0"/>
          <w:sz w:val="28"/>
          <w:szCs w:val="28"/>
        </w:rPr>
        <w:t>％，</w:t>
      </w:r>
      <w:r>
        <w:rPr>
          <w:rFonts w:hint="eastAsia" w:ascii="宋体" w:hAnsi="宋体" w:cs="FSJ-PK7482000000b-Identity-H"/>
          <w:color w:val="000000"/>
          <w:kern w:val="0"/>
          <w:sz w:val="28"/>
          <w:szCs w:val="28"/>
        </w:rPr>
        <w:t>如违约金数额不足以弥补乙方的实际损失，乙方有权继续向甲方追索，直至乙方所有实际损失得以弥补；</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11.1.2</w:t>
      </w:r>
      <w:r>
        <w:rPr>
          <w:rFonts w:hint="eastAsia" w:ascii="宋体" w:hAnsi="宋体" w:cs="FSJ-PK7482000000b-Identity-H"/>
          <w:color w:val="000000"/>
          <w:kern w:val="0"/>
          <w:sz w:val="28"/>
          <w:szCs w:val="28"/>
        </w:rPr>
        <w:t>如果因甲方过错违反本合同约定的其他义务，导致乙方不能行使非主要权利时，乙方不得请求解除本合同，但甲方应赔偿乙方的实际损失。</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11.2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乙方的违约责任</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11.2.1  </w:t>
      </w:r>
      <w:r>
        <w:rPr>
          <w:rFonts w:hint="eastAsia" w:ascii="宋体" w:hAnsi="宋体" w:cs="FSJ-PK7482000000b-Identity-H"/>
          <w:color w:val="000000"/>
          <w:kern w:val="0"/>
          <w:sz w:val="28"/>
          <w:szCs w:val="28"/>
        </w:rPr>
        <w:t>如乙方违反付款义务，未能按时足额支付相应款项，则每逾期一日，乙方按应付未付价款的万分之五向甲方支付滞纳金。</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11.2.2  </w:t>
      </w:r>
      <w:r>
        <w:rPr>
          <w:rFonts w:hint="eastAsia" w:ascii="宋体" w:hAnsi="宋体" w:cs="FSJ-PK7482000000b-Identity-H"/>
          <w:color w:val="000000"/>
          <w:kern w:val="0"/>
          <w:sz w:val="28"/>
          <w:szCs w:val="28"/>
        </w:rPr>
        <w:t>如乙方迟延（ ）日未向甲方足额支付相应款项，则甲方有权选择：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ｉ</w:t>
      </w:r>
      <w:r>
        <w:rPr>
          <w:rFonts w:hint="eastAsia" w:ascii="宋体" w:hAnsi="宋体" w:cs="FSJ-PK7482000000b-Identity-H"/>
          <w:color w:val="000000"/>
          <w:kern w:val="0"/>
          <w:sz w:val="28"/>
          <w:szCs w:val="28"/>
        </w:rPr>
        <w:t>）解除本合同，乙方应向甲方支付相应的违约金，违约金数额为损失价款的（</w:t>
      </w:r>
      <w:r>
        <w:rPr>
          <w:rFonts w:hint="eastAsia" w:ascii="宋体" w:hAnsi="宋体" w:cs="E-BZ-PK74899-Identity-H"/>
          <w:color w:val="000000"/>
          <w:kern w:val="0"/>
          <w:sz w:val="28"/>
          <w:szCs w:val="28"/>
        </w:rPr>
        <w:t xml:space="preserve"> </w:t>
      </w:r>
      <w:r>
        <w:rPr>
          <w:rFonts w:hint="eastAsia" w:ascii="宋体" w:hAnsi="宋体" w:cs="FSJ-PK7482000000b-Identity-H"/>
          <w:color w:val="000000"/>
          <w:kern w:val="0"/>
          <w:sz w:val="28"/>
          <w:szCs w:val="28"/>
        </w:rPr>
        <w:t>）</w:t>
      </w:r>
      <w:r>
        <w:rPr>
          <w:rFonts w:hint="eastAsia" w:ascii="宋体" w:hAnsi="宋体" w:cs="E-BZ-PK74899-Identity-H"/>
          <w:color w:val="000000"/>
          <w:kern w:val="0"/>
          <w:sz w:val="28"/>
          <w:szCs w:val="28"/>
        </w:rPr>
        <w:t>％，违约金可从乙方已经支付的款项中扣划</w:t>
      </w:r>
      <w:r>
        <w:rPr>
          <w:rFonts w:hint="eastAsia" w:ascii="宋体" w:hAnsi="宋体" w:cs="FSJ-PK7482000000b-Identity-H"/>
          <w:color w:val="000000"/>
          <w:kern w:val="0"/>
          <w:sz w:val="28"/>
          <w:szCs w:val="28"/>
        </w:rPr>
        <w:t>；并（</w:t>
      </w:r>
      <w:r>
        <w:rPr>
          <w:rFonts w:hint="eastAsia" w:ascii="宋体" w:hAnsi="宋体" w:cs="E-BZ-PK74899-Identity-H"/>
          <w:color w:val="000000"/>
          <w:kern w:val="0"/>
          <w:sz w:val="28"/>
          <w:szCs w:val="28"/>
        </w:rPr>
        <w:t>ｉｉ</w:t>
      </w:r>
      <w:r>
        <w:rPr>
          <w:rFonts w:hint="eastAsia" w:ascii="宋体" w:hAnsi="宋体" w:cs="FSJ-PK7482000000b-Identity-H"/>
          <w:color w:val="000000"/>
          <w:kern w:val="0"/>
          <w:sz w:val="28"/>
          <w:szCs w:val="28"/>
        </w:rPr>
        <w:t>）如违约金数额不足以弥补甲方的实际损失，甲方有权继续向乙方追索；</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11.2.3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如果乙方违反本合同约定的声明和保证或其它义务，甲方有权选择：</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不解除本合同，要求乙方继续履行本合同并赔偿甲方的实际损失。</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不可抗力</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发生不可抗力事件的一方当事人应当在不可抗力事件发生十五日内请求并获得事件发生地的政府有关部门或公证机构出具的证明文件。</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12.1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法律后果</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因不可抗力不能履行合同的，根据不可抗力的影响，部分或者全部免除责任，但法律另有规定的除外。</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13  </w:t>
      </w:r>
      <w:r>
        <w:rPr>
          <w:rFonts w:hint="eastAsia" w:ascii="宋体" w:hAnsi="宋体" w:cs="FSJ-PK7482000000b-Identity-H"/>
          <w:color w:val="000000"/>
          <w:kern w:val="0"/>
          <w:sz w:val="28"/>
          <w:szCs w:val="28"/>
        </w:rPr>
        <w:t>法律适用</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本合同的成立、效力、解释和履行适用中华人民共和国法律。</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14  </w:t>
      </w:r>
      <w:r>
        <w:rPr>
          <w:rFonts w:hint="eastAsia" w:ascii="宋体" w:hAnsi="宋体" w:cs="FSJ-PK7482000000b-Identity-H"/>
          <w:color w:val="000000"/>
          <w:kern w:val="0"/>
          <w:sz w:val="28"/>
          <w:szCs w:val="28"/>
        </w:rPr>
        <w:t>争议解决</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因本合同引起或与本合同有关的一切争议，双方均应友好协商解决；如果不能解决的，任何一方均有权选择下列〔</w:t>
      </w:r>
      <w:r>
        <w:rPr>
          <w:rFonts w:hint="eastAsia" w:ascii="宋体" w:hAnsi="宋体" w:cs="E-BZ-PK74899-Identity-H"/>
          <w:color w:val="000000"/>
          <w:kern w:val="0"/>
          <w:sz w:val="28"/>
          <w:szCs w:val="28"/>
        </w:rPr>
        <w:t>Ａ</w:t>
      </w:r>
      <w:r>
        <w:rPr>
          <w:rFonts w:hint="eastAsia" w:ascii="宋体" w:hAnsi="宋体" w:cs="FSJ-PK7482000000b-Identity-H"/>
          <w:color w:val="000000"/>
          <w:kern w:val="0"/>
          <w:sz w:val="28"/>
          <w:szCs w:val="28"/>
        </w:rPr>
        <w:t>〕争议解决方式：</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Ａ</w:t>
      </w:r>
      <w:r>
        <w:rPr>
          <w:rFonts w:hint="eastAsia" w:ascii="宋体" w:hAnsi="宋体" w:cs="FSJ-PK7482000000b-Identity-H"/>
          <w:color w:val="000000"/>
          <w:kern w:val="0"/>
          <w:sz w:val="28"/>
          <w:szCs w:val="28"/>
        </w:rPr>
        <w:t>向甲方所在地有管辖权的人民法院提起诉讼。</w:t>
      </w:r>
    </w:p>
    <w:p>
      <w:pPr>
        <w:autoSpaceDE w:val="0"/>
        <w:autoSpaceDN w:val="0"/>
        <w:adjustRightInd w:val="0"/>
        <w:ind w:firstLine="560" w:firstLineChars="200"/>
        <w:jc w:val="left"/>
        <w:rPr>
          <w:rFonts w:ascii="宋体" w:cs="FSJ-PK7482000000b-Identity-H"/>
          <w:color w:val="000000"/>
          <w:kern w:val="0"/>
          <w:sz w:val="28"/>
          <w:szCs w:val="28"/>
        </w:rPr>
      </w:pPr>
      <w:r>
        <w:rPr>
          <w:rFonts w:hint="eastAsia" w:ascii="宋体" w:hAnsi="宋体" w:cs="E-BZ-PK74899-Identity-H"/>
          <w:color w:val="000000"/>
          <w:kern w:val="0"/>
          <w:sz w:val="28"/>
          <w:szCs w:val="28"/>
        </w:rPr>
        <w:t>Ｂ</w:t>
      </w:r>
      <w:r>
        <w:rPr>
          <w:rFonts w:hint="eastAsia" w:ascii="宋体" w:hAnsi="宋体" w:cs="FSJ-PK7482000000b-Identity-H"/>
          <w:color w:val="000000"/>
          <w:kern w:val="0"/>
          <w:sz w:val="28"/>
          <w:szCs w:val="28"/>
        </w:rPr>
        <w:t>向合同签订地有管辖权的人民法院提起诉讼。</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16</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合同的生效</w:t>
      </w:r>
    </w:p>
    <w:p>
      <w:pPr>
        <w:autoSpaceDE w:val="0"/>
        <w:autoSpaceDN w:val="0"/>
        <w:adjustRightInd w:val="0"/>
        <w:ind w:firstLine="560" w:firstLineChars="200"/>
        <w:jc w:val="left"/>
        <w:rPr>
          <w:rFonts w:ascii="宋体" w:cs="FN-BZ-PK7481d9-Identity-H"/>
          <w:color w:val="000000"/>
          <w:kern w:val="0"/>
          <w:sz w:val="28"/>
          <w:szCs w:val="28"/>
        </w:rPr>
      </w:pPr>
      <w:r>
        <w:rPr>
          <w:rFonts w:hint="eastAsia" w:ascii="宋体" w:hAnsi="宋体" w:cs="FSJ-PK7482000000b-Identity-H"/>
          <w:color w:val="000000"/>
          <w:kern w:val="0"/>
          <w:sz w:val="28"/>
          <w:szCs w:val="28"/>
        </w:rPr>
        <w:t>本合同经双方的法定代表人或负责人签字并盖章后生效。</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其他约定</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17.1</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本合同签署前形成的与本次交易相关的任何文件如与本合同相冲突，应以本合同为准。</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17.2</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如果本合同的某条款被宣布为无效，应不影响本合同任何其他条款的效力。</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17.3</w:t>
      </w:r>
      <w:r>
        <w:rPr>
          <w:rFonts w:hint="eastAsia" w:ascii="宋体" w:hAnsi="宋体" w:cs="E-BZ-PK74899-Identity-H"/>
          <w:color w:val="000000"/>
          <w:kern w:val="0"/>
          <w:sz w:val="28"/>
          <w:szCs w:val="28"/>
        </w:rPr>
        <w:t>　</w:t>
      </w:r>
      <w:r>
        <w:rPr>
          <w:rFonts w:hint="eastAsia" w:ascii="宋体" w:hAnsi="宋体" w:cs="FSJ-PK7482000000b-Identity-H"/>
          <w:color w:val="000000"/>
          <w:kern w:val="0"/>
          <w:sz w:val="28"/>
          <w:szCs w:val="28"/>
        </w:rPr>
        <w:t>本合同中所有条款的标题仅为查阅方便，在任何情况下均不得被解释为本合同之组成部分，或构成对其所指示之条款的限制。</w:t>
      </w:r>
    </w:p>
    <w:p>
      <w:pPr>
        <w:autoSpaceDE w:val="0"/>
        <w:autoSpaceDN w:val="0"/>
        <w:adjustRightInd w:val="0"/>
        <w:ind w:firstLine="560" w:firstLineChars="200"/>
        <w:jc w:val="left"/>
        <w:rPr>
          <w:rFonts w:ascii="宋体" w:cs="FSJ-PK7482000000b-Identity-H"/>
          <w:color w:val="000000"/>
          <w:kern w:val="0"/>
          <w:sz w:val="28"/>
          <w:szCs w:val="28"/>
        </w:rPr>
      </w:pPr>
      <w:r>
        <w:rPr>
          <w:rFonts w:ascii="宋体" w:hAnsi="宋体" w:cs="E-BZ-PK74899-Identity-H"/>
          <w:color w:val="000000"/>
          <w:kern w:val="0"/>
          <w:sz w:val="28"/>
          <w:szCs w:val="28"/>
        </w:rPr>
        <w:t xml:space="preserve">17.4  </w:t>
      </w:r>
      <w:r>
        <w:rPr>
          <w:rFonts w:hint="eastAsia" w:ascii="宋体" w:hAnsi="宋体" w:cs="FSJ-PK7482000000b-Identity-H"/>
          <w:color w:val="000000"/>
          <w:kern w:val="0"/>
          <w:sz w:val="28"/>
          <w:szCs w:val="28"/>
        </w:rPr>
        <w:t>如有未尽事宜，双方可签订补充合同。附件、补充合同为本合同不可分割的一部分，与本合同具有同等效力。</w:t>
      </w:r>
    </w:p>
    <w:p>
      <w:pPr>
        <w:autoSpaceDE w:val="0"/>
        <w:autoSpaceDN w:val="0"/>
        <w:adjustRightInd w:val="0"/>
        <w:ind w:firstLine="560" w:firstLineChars="200"/>
        <w:jc w:val="left"/>
        <w:rPr>
          <w:rFonts w:ascii="宋体" w:hAnsi="宋体" w:cs="FSJ-PK7482000000b-Identity-H"/>
          <w:color w:val="000000"/>
          <w:kern w:val="0"/>
          <w:sz w:val="28"/>
          <w:szCs w:val="28"/>
        </w:rPr>
      </w:pPr>
      <w:r>
        <w:rPr>
          <w:rFonts w:ascii="宋体" w:hAnsi="宋体" w:cs="FSJ-PK7482000000b-Identity-H"/>
          <w:color w:val="000000"/>
          <w:kern w:val="0"/>
          <w:sz w:val="28"/>
          <w:szCs w:val="28"/>
        </w:rPr>
        <w:t>17.5</w:t>
      </w:r>
      <w:r>
        <w:rPr>
          <w:rFonts w:hint="eastAsia" w:ascii="宋体" w:hAnsi="宋体" w:cs="FSJ-PK7482000000b-Identity-H"/>
          <w:color w:val="000000"/>
          <w:kern w:val="0"/>
          <w:sz w:val="28"/>
          <w:szCs w:val="28"/>
        </w:rPr>
        <w:t>　本合同一式   份，均具有同等法律效力，甲方执   份，乙方执   份，武汉光谷联合产权交易所执    份。</w:t>
      </w:r>
      <w:r>
        <w:rPr>
          <w:rFonts w:ascii="宋体" w:hAnsi="宋体" w:cs="FSJ-PK7482000000b-Identity-H"/>
          <w:color w:val="000000"/>
          <w:kern w:val="0"/>
          <w:sz w:val="28"/>
          <w:szCs w:val="28"/>
        </w:rPr>
        <w:br w:type="page"/>
      </w:r>
    </w:p>
    <w:p>
      <w:pPr>
        <w:autoSpaceDE w:val="0"/>
        <w:autoSpaceDN w:val="0"/>
        <w:adjustRightInd w:val="0"/>
        <w:jc w:val="left"/>
        <w:rPr>
          <w:rFonts w:ascii="宋体" w:hAnsi="宋体" w:cs="FSJ-PK7482000000b-Identity-H"/>
          <w:color w:val="000000"/>
          <w:kern w:val="0"/>
          <w:sz w:val="28"/>
          <w:szCs w:val="28"/>
        </w:rPr>
      </w:pPr>
      <w:r>
        <w:rPr>
          <w:rFonts w:ascii="宋体" w:hAnsi="宋体" w:cs="FSJ-PK7482000000b-Identity-H"/>
          <w:color w:val="000000"/>
          <w:kern w:val="0"/>
          <w:sz w:val="28"/>
          <w:szCs w:val="28"/>
        </w:rPr>
        <w:t>(</w:t>
      </w:r>
      <w:r>
        <w:rPr>
          <w:rFonts w:hint="eastAsia" w:ascii="宋体" w:hAnsi="宋体" w:cs="FSJ-PK7482000000b-Identity-H"/>
          <w:color w:val="000000"/>
          <w:kern w:val="0"/>
          <w:sz w:val="28"/>
          <w:szCs w:val="28"/>
        </w:rPr>
        <w:t>合同签字页</w:t>
      </w:r>
      <w:r>
        <w:rPr>
          <w:rFonts w:ascii="宋体" w:hAnsi="宋体" w:cs="FSJ-PK7482000000b-Identity-H"/>
          <w:color w:val="000000"/>
          <w:kern w:val="0"/>
          <w:sz w:val="28"/>
          <w:szCs w:val="28"/>
        </w:rPr>
        <w:t>)</w:t>
      </w: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hAns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甲方（盖章）：</w:t>
      </w: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负责人（签字）：</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乙方（盖章）：</w:t>
      </w:r>
    </w:p>
    <w:p>
      <w:pPr>
        <w:autoSpaceDE w:val="0"/>
        <w:autoSpaceDN w:val="0"/>
        <w:adjustRightInd w:val="0"/>
        <w:jc w:val="left"/>
        <w:rPr>
          <w:rFonts w:ascii="宋体" w:cs="FSJ-PK7482000000b-Identity-H"/>
          <w:color w:val="000000"/>
          <w:kern w:val="0"/>
          <w:sz w:val="28"/>
          <w:szCs w:val="28"/>
        </w:rPr>
      </w:pPr>
      <w:r>
        <w:rPr>
          <w:rFonts w:hint="eastAsia" w:ascii="宋体" w:hAnsi="宋体" w:cs="FSJ-PK7482000000b-Identity-H"/>
          <w:color w:val="000000"/>
          <w:kern w:val="0"/>
          <w:sz w:val="28"/>
          <w:szCs w:val="28"/>
        </w:rPr>
        <w:t>负责人（签字）：</w:t>
      </w: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autoSpaceDE w:val="0"/>
        <w:autoSpaceDN w:val="0"/>
        <w:adjustRightInd w:val="0"/>
        <w:jc w:val="left"/>
        <w:rPr>
          <w:rFonts w:ascii="宋体" w:cs="FSJ-PK7482000000b-Identity-H"/>
          <w:color w:val="000000"/>
          <w:kern w:val="0"/>
          <w:sz w:val="28"/>
          <w:szCs w:val="28"/>
        </w:rPr>
      </w:pPr>
    </w:p>
    <w:p>
      <w:pPr>
        <w:rPr>
          <w:rFonts w:ascii="宋体" w:cs="FSJ-PK7482000000b-Identity-H"/>
          <w:color w:val="000000"/>
          <w:kern w:val="0"/>
          <w:sz w:val="28"/>
          <w:szCs w:val="28"/>
        </w:rPr>
      </w:pPr>
      <w:r>
        <w:rPr>
          <w:rFonts w:ascii="宋体" w:cs="FSJ-PK7482000000b-Identity-H"/>
          <w:color w:val="000000"/>
          <w:kern w:val="0"/>
          <w:sz w:val="28"/>
          <w:szCs w:val="28"/>
        </w:rPr>
        <w:br w:type="page"/>
      </w:r>
    </w:p>
    <w:p>
      <w:pPr>
        <w:spacing w:after="240" w:line="400" w:lineRule="exact"/>
        <w:ind w:right="960"/>
        <w:jc w:val="center"/>
        <w:rPr>
          <w:rFonts w:hAnsi="华文楷体" w:eastAsia="华文楷体"/>
          <w:b/>
          <w:sz w:val="24"/>
        </w:rPr>
      </w:pPr>
      <w:r>
        <w:rPr>
          <w:rFonts w:hint="eastAsia" w:hAnsi="华文楷体" w:eastAsia="华文楷体"/>
          <w:b/>
          <w:sz w:val="24"/>
        </w:rPr>
        <w:t>单户债权转让协议</w:t>
      </w:r>
    </w:p>
    <w:p>
      <w:pPr>
        <w:tabs>
          <w:tab w:val="left" w:pos="5529"/>
        </w:tabs>
        <w:wordWrap w:val="0"/>
        <w:spacing w:after="240" w:line="400" w:lineRule="exact"/>
        <w:ind w:left="420" w:right="540" w:firstLine="420"/>
        <w:jc w:val="right"/>
        <w:rPr>
          <w:rFonts w:eastAsia="华文楷体"/>
        </w:rPr>
      </w:pPr>
      <w:r>
        <w:rPr>
          <w:rFonts w:hint="eastAsia" w:hAnsi="华文楷体" w:eastAsia="华文楷体"/>
        </w:rPr>
        <w:t>编号：</w:t>
      </w:r>
    </w:p>
    <w:p>
      <w:pPr>
        <w:spacing w:after="240" w:line="400" w:lineRule="exact"/>
        <w:rPr>
          <w:rFonts w:eastAsia="华文楷体"/>
          <w:u w:val="single"/>
        </w:rPr>
      </w:pPr>
      <w:r>
        <w:rPr>
          <w:rFonts w:hint="eastAsia" w:hAnsi="华文楷体" w:eastAsia="华文楷体"/>
        </w:rPr>
        <w:t>转让方：招商银行股份有限公司</w:t>
      </w:r>
      <w:r>
        <w:rPr>
          <w:rFonts w:hint="eastAsia" w:hAnsi="华文楷体" w:eastAsia="华文楷体"/>
          <w:u w:val="single"/>
        </w:rPr>
        <w:t>武汉分行</w:t>
      </w:r>
    </w:p>
    <w:p>
      <w:pPr>
        <w:spacing w:after="240" w:line="400" w:lineRule="exact"/>
        <w:rPr>
          <w:rFonts w:eastAsia="华文楷体"/>
        </w:rPr>
      </w:pPr>
      <w:r>
        <w:rPr>
          <w:rFonts w:hint="eastAsia" w:hAnsi="华文楷体" w:eastAsia="华文楷体"/>
        </w:rPr>
        <w:t>受让方：</w:t>
      </w:r>
      <w:r>
        <w:rPr>
          <w:rFonts w:eastAsia="华文楷体"/>
        </w:rPr>
        <w:t xml:space="preserve"> </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鉴于：</w:t>
      </w:r>
    </w:p>
    <w:p>
      <w:pPr>
        <w:tabs>
          <w:tab w:val="left" w:pos="420"/>
        </w:tabs>
        <w:spacing w:after="240" w:line="400" w:lineRule="exact"/>
        <w:ind w:firstLine="735" w:firstLineChars="350"/>
        <w:rPr>
          <w:rFonts w:eastAsia="华文楷体"/>
        </w:rPr>
      </w:pPr>
      <w:r>
        <w:rPr>
          <w:rFonts w:hint="eastAsia" w:hAnsi="华文楷体" w:eastAsia="华文楷体"/>
        </w:rPr>
        <w:t xml:space="preserve">年   </w:t>
      </w:r>
      <w:r>
        <w:rPr>
          <w:rFonts w:hint="eastAsia" w:hAnsi="华文楷体" w:eastAsia="华文楷体"/>
          <w:szCs w:val="21"/>
        </w:rPr>
        <w:t>月   日</w:t>
      </w:r>
      <w:r>
        <w:rPr>
          <w:rFonts w:hint="eastAsia" w:hAnsi="华文楷体" w:eastAsia="华文楷体"/>
        </w:rPr>
        <w:t>，转让方与受让方签署《不良金融资产转让合同》（编号：   ），转让方将《不良金融资产转让合同》附件列明的资产包内的全部资产转让给受让方，与该等资产相关的风险与利益转移同时转移。</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为此，双方经友好协商，就转让方向受让方转让资产事宜，达成以下协议：</w:t>
      </w:r>
    </w:p>
    <w:p>
      <w:pPr>
        <w:numPr>
          <w:ilvl w:val="1"/>
          <w:numId w:val="1"/>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转让方向受让方转让下表所示的资产（</w:t>
      </w:r>
      <w:r>
        <w:rPr>
          <w:rFonts w:eastAsia="华文楷体"/>
          <w:szCs w:val="21"/>
        </w:rPr>
        <w:t>“</w:t>
      </w:r>
      <w:r>
        <w:rPr>
          <w:rFonts w:hint="eastAsia" w:hAnsi="华文楷体" w:eastAsia="华文楷体"/>
          <w:szCs w:val="21"/>
        </w:rPr>
        <w:t>转让标的</w:t>
      </w:r>
      <w:r>
        <w:rPr>
          <w:rFonts w:eastAsia="华文楷体"/>
          <w:szCs w:val="21"/>
        </w:rPr>
        <w:t>”</w:t>
      </w:r>
      <w:r>
        <w:rPr>
          <w:rFonts w:hint="eastAsia" w:hAnsi="华文楷体" w:eastAsia="华文楷体"/>
          <w:szCs w:val="21"/>
        </w:rPr>
        <w:t>）。</w:t>
      </w:r>
    </w:p>
    <w:p>
      <w:pPr>
        <w:spacing w:after="240" w:line="400" w:lineRule="exact"/>
        <w:rPr>
          <w:rFonts w:eastAsia="华文楷体"/>
        </w:rPr>
      </w:pPr>
      <w:r>
        <w:rPr>
          <w:rFonts w:hint="eastAsia" w:hAnsi="华文楷体" w:eastAsia="华文楷体"/>
        </w:rPr>
        <w:t>借款人名称：</w:t>
      </w:r>
    </w:p>
    <w:tbl>
      <w:tblPr>
        <w:tblStyle w:val="8"/>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290"/>
        <w:gridCol w:w="1770"/>
        <w:gridCol w:w="126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8" w:hRule="atLeast"/>
          <w:jc w:val="center"/>
        </w:trPr>
        <w:tc>
          <w:tcPr>
            <w:tcW w:w="720" w:type="dxa"/>
            <w:vAlign w:val="center"/>
          </w:tcPr>
          <w:p>
            <w:pPr>
              <w:spacing w:after="240" w:line="400" w:lineRule="exact"/>
              <w:jc w:val="center"/>
              <w:rPr>
                <w:rFonts w:eastAsia="华文楷体"/>
              </w:rPr>
            </w:pPr>
            <w:r>
              <w:rPr>
                <w:rFonts w:hint="eastAsia" w:hAnsi="华文楷体" w:eastAsia="华文楷体"/>
              </w:rPr>
              <w:t>借款人编号</w:t>
            </w:r>
          </w:p>
        </w:tc>
        <w:tc>
          <w:tcPr>
            <w:tcW w:w="1980" w:type="dxa"/>
            <w:vAlign w:val="center"/>
          </w:tcPr>
          <w:p>
            <w:pPr>
              <w:spacing w:after="240" w:line="400" w:lineRule="exact"/>
              <w:jc w:val="center"/>
              <w:rPr>
                <w:rFonts w:eastAsia="华文楷体"/>
              </w:rPr>
            </w:pPr>
            <w:r>
              <w:rPr>
                <w:rFonts w:hint="eastAsia" w:hAnsi="华文楷体" w:eastAsia="华文楷体"/>
              </w:rPr>
              <w:t>借款合同编号</w:t>
            </w:r>
            <w:r>
              <w:rPr>
                <w:rFonts w:eastAsia="华文楷体"/>
              </w:rPr>
              <w:t>(</w:t>
            </w:r>
            <w:r>
              <w:rPr>
                <w:rFonts w:hint="eastAsia" w:hAnsi="华文楷体" w:eastAsia="华文楷体"/>
              </w:rPr>
              <w:t>或合同签订时间及合同金额</w:t>
            </w:r>
            <w:r>
              <w:rPr>
                <w:rFonts w:eastAsia="华文楷体"/>
              </w:rPr>
              <w:t>)</w:t>
            </w:r>
          </w:p>
        </w:tc>
        <w:tc>
          <w:tcPr>
            <w:tcW w:w="1290" w:type="dxa"/>
            <w:vAlign w:val="center"/>
          </w:tcPr>
          <w:p>
            <w:pPr>
              <w:spacing w:after="240" w:line="400" w:lineRule="exact"/>
              <w:jc w:val="center"/>
              <w:rPr>
                <w:rFonts w:eastAsia="华文楷体"/>
              </w:rPr>
            </w:pPr>
            <w:r>
              <w:rPr>
                <w:rFonts w:hint="eastAsia" w:hAnsi="华文楷体" w:eastAsia="华文楷体"/>
              </w:rPr>
              <w:t>担保人名称</w:t>
            </w:r>
          </w:p>
        </w:tc>
        <w:tc>
          <w:tcPr>
            <w:tcW w:w="1770" w:type="dxa"/>
            <w:vAlign w:val="center"/>
          </w:tcPr>
          <w:p>
            <w:pPr>
              <w:spacing w:after="240" w:line="400" w:lineRule="exact"/>
              <w:ind w:left="-78" w:leftChars="-37"/>
              <w:jc w:val="center"/>
              <w:rPr>
                <w:rFonts w:eastAsia="华文楷体"/>
              </w:rPr>
            </w:pPr>
            <w:r>
              <w:rPr>
                <w:rFonts w:hint="eastAsia" w:hAnsi="华文楷体" w:eastAsia="华文楷体"/>
              </w:rPr>
              <w:t>担保合同编号</w:t>
            </w:r>
            <w:r>
              <w:rPr>
                <w:rFonts w:eastAsia="华文楷体"/>
              </w:rPr>
              <w:t>(</w:t>
            </w:r>
            <w:r>
              <w:rPr>
                <w:rFonts w:hint="eastAsia" w:hAnsi="华文楷体" w:eastAsia="华文楷体"/>
              </w:rPr>
              <w:t>或合同签订时间</w:t>
            </w:r>
            <w:r>
              <w:rPr>
                <w:rFonts w:eastAsia="华文楷体"/>
              </w:rPr>
              <w:t>)</w:t>
            </w:r>
          </w:p>
        </w:tc>
        <w:tc>
          <w:tcPr>
            <w:tcW w:w="1260" w:type="dxa"/>
            <w:vAlign w:val="center"/>
          </w:tcPr>
          <w:p>
            <w:pPr>
              <w:spacing w:after="240" w:line="400" w:lineRule="exact"/>
              <w:jc w:val="center"/>
              <w:rPr>
                <w:rFonts w:eastAsia="华文楷体"/>
              </w:rPr>
            </w:pPr>
            <w:r>
              <w:rPr>
                <w:rFonts w:hint="eastAsia" w:hAnsi="华文楷体" w:eastAsia="华文楷体"/>
              </w:rPr>
              <w:t>原贷款行</w:t>
            </w:r>
          </w:p>
        </w:tc>
        <w:tc>
          <w:tcPr>
            <w:tcW w:w="1275" w:type="dxa"/>
            <w:vAlign w:val="center"/>
          </w:tcPr>
          <w:p>
            <w:pPr>
              <w:spacing w:after="240" w:line="400" w:lineRule="exact"/>
              <w:jc w:val="center"/>
              <w:rPr>
                <w:rFonts w:eastAsia="华文楷体"/>
              </w:rPr>
            </w:pPr>
            <w:r>
              <w:rPr>
                <w:rFonts w:hint="eastAsia" w:hAnsi="华文楷体" w:eastAsia="华文楷体"/>
              </w:rPr>
              <w:t>债权截至基准日本金余额</w:t>
            </w:r>
          </w:p>
        </w:tc>
        <w:tc>
          <w:tcPr>
            <w:tcW w:w="1275" w:type="dxa"/>
          </w:tcPr>
          <w:p>
            <w:pPr>
              <w:spacing w:after="240" w:line="400" w:lineRule="exact"/>
              <w:jc w:val="center"/>
              <w:rPr>
                <w:rFonts w:eastAsia="华文楷体"/>
              </w:rPr>
            </w:pPr>
            <w:r>
              <w:rPr>
                <w:rFonts w:hint="eastAsia" w:hAnsi="华文楷体" w:eastAsia="华文楷体"/>
              </w:rPr>
              <w:t>债权截至基准日利息金额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tcPr>
          <w:p>
            <w:pPr>
              <w:spacing w:after="240" w:line="400" w:lineRule="exact"/>
              <w:rPr>
                <w:rFonts w:eastAsia="华文楷体"/>
              </w:rPr>
            </w:pPr>
          </w:p>
        </w:tc>
        <w:tc>
          <w:tcPr>
            <w:tcW w:w="1980" w:type="dxa"/>
          </w:tcPr>
          <w:p>
            <w:pPr>
              <w:spacing w:after="240" w:line="400" w:lineRule="exact"/>
              <w:rPr>
                <w:rFonts w:eastAsia="华文楷体"/>
              </w:rPr>
            </w:pPr>
          </w:p>
        </w:tc>
        <w:tc>
          <w:tcPr>
            <w:tcW w:w="1290" w:type="dxa"/>
          </w:tcPr>
          <w:p>
            <w:pPr>
              <w:spacing w:after="240" w:line="400" w:lineRule="exact"/>
              <w:rPr>
                <w:rFonts w:eastAsia="华文楷体"/>
              </w:rPr>
            </w:pPr>
          </w:p>
        </w:tc>
        <w:tc>
          <w:tcPr>
            <w:tcW w:w="1770" w:type="dxa"/>
          </w:tcPr>
          <w:p>
            <w:pPr>
              <w:spacing w:after="240" w:line="400" w:lineRule="exact"/>
              <w:rPr>
                <w:rFonts w:eastAsia="华文楷体"/>
              </w:rPr>
            </w:pPr>
          </w:p>
        </w:tc>
        <w:tc>
          <w:tcPr>
            <w:tcW w:w="1260" w:type="dxa"/>
          </w:tcPr>
          <w:p>
            <w:pPr>
              <w:spacing w:after="240" w:line="400" w:lineRule="exact"/>
              <w:rPr>
                <w:rFonts w:eastAsia="华文楷体"/>
              </w:rPr>
            </w:pPr>
          </w:p>
        </w:tc>
        <w:tc>
          <w:tcPr>
            <w:tcW w:w="1275" w:type="dxa"/>
          </w:tcPr>
          <w:p>
            <w:pPr>
              <w:spacing w:after="240" w:line="400" w:lineRule="exact"/>
              <w:rPr>
                <w:rFonts w:eastAsia="华文楷体"/>
              </w:rPr>
            </w:pPr>
          </w:p>
        </w:tc>
        <w:tc>
          <w:tcPr>
            <w:tcW w:w="1275" w:type="dxa"/>
          </w:tcPr>
          <w:p>
            <w:pPr>
              <w:spacing w:after="240" w:line="400" w:lineRule="exact"/>
              <w:rPr>
                <w:rFonts w:eastAsia="华文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720" w:type="dxa"/>
          </w:tcPr>
          <w:p>
            <w:pPr>
              <w:spacing w:after="240" w:line="400" w:lineRule="exact"/>
              <w:rPr>
                <w:rFonts w:eastAsia="华文楷体"/>
              </w:rPr>
            </w:pPr>
          </w:p>
        </w:tc>
        <w:tc>
          <w:tcPr>
            <w:tcW w:w="1980" w:type="dxa"/>
          </w:tcPr>
          <w:p>
            <w:pPr>
              <w:spacing w:after="240" w:line="400" w:lineRule="exact"/>
              <w:rPr>
                <w:rFonts w:eastAsia="华文楷体"/>
              </w:rPr>
            </w:pPr>
          </w:p>
        </w:tc>
        <w:tc>
          <w:tcPr>
            <w:tcW w:w="1290" w:type="dxa"/>
          </w:tcPr>
          <w:p>
            <w:pPr>
              <w:spacing w:after="240" w:line="400" w:lineRule="exact"/>
              <w:rPr>
                <w:rFonts w:eastAsia="华文楷体"/>
              </w:rPr>
            </w:pPr>
          </w:p>
        </w:tc>
        <w:tc>
          <w:tcPr>
            <w:tcW w:w="1770" w:type="dxa"/>
          </w:tcPr>
          <w:p>
            <w:pPr>
              <w:spacing w:after="240" w:line="400" w:lineRule="exact"/>
              <w:rPr>
                <w:rFonts w:eastAsia="华文楷体"/>
              </w:rPr>
            </w:pPr>
          </w:p>
        </w:tc>
        <w:tc>
          <w:tcPr>
            <w:tcW w:w="1260" w:type="dxa"/>
          </w:tcPr>
          <w:p>
            <w:pPr>
              <w:spacing w:after="240" w:line="400" w:lineRule="exact"/>
              <w:rPr>
                <w:rFonts w:eastAsia="华文楷体"/>
              </w:rPr>
            </w:pPr>
          </w:p>
        </w:tc>
        <w:tc>
          <w:tcPr>
            <w:tcW w:w="1275" w:type="dxa"/>
          </w:tcPr>
          <w:p>
            <w:pPr>
              <w:spacing w:after="240" w:line="400" w:lineRule="exact"/>
              <w:rPr>
                <w:rFonts w:eastAsia="华文楷体"/>
              </w:rPr>
            </w:pPr>
          </w:p>
        </w:tc>
        <w:tc>
          <w:tcPr>
            <w:tcW w:w="1275" w:type="dxa"/>
          </w:tcPr>
          <w:p>
            <w:pPr>
              <w:spacing w:after="240" w:line="400" w:lineRule="exact"/>
              <w:rPr>
                <w:rFonts w:eastAsia="华文楷体"/>
              </w:rPr>
            </w:pPr>
          </w:p>
        </w:tc>
      </w:tr>
    </w:tbl>
    <w:p>
      <w:pPr>
        <w:numPr>
          <w:ilvl w:val="1"/>
          <w:numId w:val="1"/>
        </w:numPr>
        <w:tabs>
          <w:tab w:val="left" w:pos="1260"/>
          <w:tab w:val="left" w:pos="1620"/>
        </w:tabs>
        <w:wordWrap w:val="0"/>
        <w:topLinePunct/>
        <w:spacing w:after="240" w:line="400" w:lineRule="exact"/>
        <w:ind w:left="1260" w:hanging="1260" w:hangingChars="600"/>
        <w:rPr>
          <w:rFonts w:eastAsia="华文楷体"/>
          <w:szCs w:val="21"/>
        </w:rPr>
      </w:pPr>
      <w:r>
        <w:rPr>
          <w:rFonts w:hint="eastAsia" w:hAnsi="华文楷体" w:eastAsia="华文楷体"/>
          <w:szCs w:val="21"/>
        </w:rPr>
        <w:t>根据</w:t>
      </w:r>
      <w:r>
        <w:rPr>
          <w:rFonts w:hint="eastAsia" w:hAnsi="华文楷体" w:eastAsia="华文楷体"/>
        </w:rPr>
        <w:t>《不良金融资产转让合同》</w:t>
      </w:r>
      <w:r>
        <w:rPr>
          <w:rFonts w:hint="eastAsia" w:hAnsi="华文楷体" w:eastAsia="华文楷体"/>
          <w:szCs w:val="21"/>
        </w:rPr>
        <w:t>的约定，自受让方支付完毕全部转让价款之日</w:t>
      </w:r>
      <w:r>
        <w:rPr>
          <w:rFonts w:eastAsia="华文楷体"/>
        </w:rPr>
        <w:t>24:00</w:t>
      </w:r>
      <w:r>
        <w:rPr>
          <w:rFonts w:hint="eastAsia" w:hAnsi="华文楷体" w:eastAsia="华文楷体"/>
        </w:rPr>
        <w:t>时</w:t>
      </w:r>
      <w:r>
        <w:rPr>
          <w:rFonts w:hint="eastAsia" w:hAnsi="华文楷体" w:eastAsia="华文楷体"/>
          <w:szCs w:val="21"/>
        </w:rPr>
        <w:t>起，与转让标的有关的</w:t>
      </w:r>
      <w:r>
        <w:rPr>
          <w:rFonts w:hint="eastAsia" w:hAnsi="华文楷体" w:eastAsia="华文楷体"/>
        </w:rPr>
        <w:t>借款合同、担保合同及其他法律文件</w:t>
      </w:r>
      <w:r>
        <w:rPr>
          <w:rFonts w:hint="eastAsia" w:hAnsi="华文楷体" w:eastAsia="华文楷体"/>
          <w:szCs w:val="21"/>
        </w:rPr>
        <w:t>（包括但不限于以物抵债协议、重组协议、还款协议）</w:t>
      </w:r>
      <w:r>
        <w:rPr>
          <w:rFonts w:hint="eastAsia" w:hAnsi="华文楷体" w:eastAsia="华文楷体"/>
        </w:rPr>
        <w:t>项下的全部权利和利益均转让给受让方，</w:t>
      </w:r>
      <w:r>
        <w:rPr>
          <w:rFonts w:hint="eastAsia" w:hAnsi="华文楷体" w:eastAsia="华文楷体"/>
          <w:szCs w:val="21"/>
        </w:rPr>
        <w:t>受让方有权行使本协议第一条所述转让标的债权人的各项权利，承担与该等债权相关的风险和费用，并享</w:t>
      </w:r>
      <w:r>
        <w:rPr>
          <w:rFonts w:hint="eastAsia" w:hAnsi="华文楷体" w:eastAsia="华文楷体"/>
          <w:color w:val="0000FF"/>
          <w:szCs w:val="21"/>
        </w:rPr>
        <w:t xml:space="preserve">有转让方就该等债权自基准日   </w:t>
      </w:r>
      <w:r>
        <w:rPr>
          <w:rFonts w:hint="eastAsia" w:eastAsia="华文楷体"/>
          <w:color w:val="0000FF"/>
        </w:rPr>
        <w:t>年  月    日</w:t>
      </w:r>
      <w:r>
        <w:rPr>
          <w:rFonts w:eastAsia="华文楷体"/>
          <w:color w:val="0000FF"/>
        </w:rPr>
        <w:t>24:00</w:t>
      </w:r>
      <w:r>
        <w:rPr>
          <w:rFonts w:hint="eastAsia" w:hAnsi="华文楷体" w:eastAsia="华文楷体"/>
          <w:color w:val="0000FF"/>
        </w:rPr>
        <w:t>时</w:t>
      </w:r>
      <w:r>
        <w:rPr>
          <w:rFonts w:hint="eastAsia" w:hAnsi="华文楷体" w:eastAsia="华文楷体"/>
          <w:color w:val="0000FF"/>
          <w:szCs w:val="21"/>
        </w:rPr>
        <w:t>起收回的债权本息</w:t>
      </w:r>
      <w:r>
        <w:rPr>
          <w:rFonts w:hint="eastAsia" w:hAnsi="华文楷体" w:eastAsia="华文楷体"/>
          <w:szCs w:val="21"/>
        </w:rPr>
        <w:t>。</w:t>
      </w:r>
    </w:p>
    <w:p>
      <w:pPr>
        <w:numPr>
          <w:ilvl w:val="1"/>
          <w:numId w:val="1"/>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本协议未约定或与《</w:t>
      </w:r>
      <w:r>
        <w:rPr>
          <w:rFonts w:hint="eastAsia" w:hAnsi="华文楷体" w:eastAsia="华文楷体"/>
        </w:rPr>
        <w:t>不良金融资产转让合同</w:t>
      </w:r>
      <w:r>
        <w:rPr>
          <w:rFonts w:hint="eastAsia" w:hAnsi="华文楷体" w:eastAsia="华文楷体"/>
          <w:szCs w:val="21"/>
        </w:rPr>
        <w:t>》抵触的事项，按《</w:t>
      </w:r>
      <w:r>
        <w:rPr>
          <w:rFonts w:hint="eastAsia" w:hAnsi="华文楷体" w:eastAsia="华文楷体"/>
        </w:rPr>
        <w:t>不良金融资产转让合同</w:t>
      </w:r>
      <w:r>
        <w:rPr>
          <w:rFonts w:hint="eastAsia" w:hAnsi="华文楷体" w:eastAsia="华文楷体"/>
          <w:szCs w:val="21"/>
        </w:rPr>
        <w:t>》的规定执行。</w:t>
      </w:r>
    </w:p>
    <w:p>
      <w:pPr>
        <w:numPr>
          <w:ilvl w:val="1"/>
          <w:numId w:val="1"/>
        </w:numPr>
        <w:tabs>
          <w:tab w:val="left" w:pos="1260"/>
          <w:tab w:val="left" w:pos="1620"/>
        </w:tabs>
        <w:spacing w:after="240" w:line="400" w:lineRule="exact"/>
        <w:ind w:left="1260" w:hanging="1260" w:hangingChars="600"/>
        <w:rPr>
          <w:rFonts w:eastAsia="华文楷体"/>
          <w:szCs w:val="21"/>
        </w:rPr>
      </w:pPr>
      <w:r>
        <w:rPr>
          <w:rFonts w:hint="eastAsia" w:hAnsi="华文楷体" w:eastAsia="华文楷体"/>
          <w:szCs w:val="21"/>
        </w:rPr>
        <w:t>本协议自双方签署之日起生效，一式六（</w:t>
      </w:r>
      <w:r>
        <w:rPr>
          <w:rFonts w:eastAsia="华文楷体"/>
          <w:szCs w:val="21"/>
        </w:rPr>
        <w:t>6</w:t>
      </w:r>
      <w:r>
        <w:rPr>
          <w:rFonts w:hint="eastAsia" w:hAnsi="华文楷体" w:eastAsia="华文楷体"/>
          <w:szCs w:val="21"/>
        </w:rPr>
        <w:t>）份，双方各执三（</w:t>
      </w:r>
      <w:r>
        <w:rPr>
          <w:rFonts w:eastAsia="华文楷体"/>
          <w:szCs w:val="21"/>
        </w:rPr>
        <w:t>3</w:t>
      </w:r>
      <w:r>
        <w:rPr>
          <w:rFonts w:hint="eastAsia" w:hAnsi="华文楷体" w:eastAsia="华文楷体"/>
          <w:szCs w:val="21"/>
        </w:rPr>
        <w:t>）份，每份协议具有同等法律效力。</w:t>
      </w:r>
    </w:p>
    <w:p>
      <w:pPr>
        <w:spacing w:after="240" w:line="400" w:lineRule="exact"/>
        <w:rPr>
          <w:rFonts w:eastAsia="华文楷体"/>
        </w:rPr>
      </w:pPr>
    </w:p>
    <w:p>
      <w:pPr>
        <w:spacing w:after="240" w:line="400" w:lineRule="exact"/>
        <w:rPr>
          <w:rFonts w:hAnsi="华文楷体" w:eastAsia="华文楷体"/>
        </w:rPr>
      </w:pPr>
      <w:r>
        <w:rPr>
          <w:rFonts w:hint="eastAsia" w:hAnsi="华文楷体" w:eastAsia="华文楷体"/>
        </w:rPr>
        <w:t>转让方：招商银行股份有限公司武汉分行（盖章）</w:t>
      </w:r>
    </w:p>
    <w:p>
      <w:pPr>
        <w:spacing w:after="240" w:line="400" w:lineRule="exact"/>
        <w:rPr>
          <w:rFonts w:eastAsia="华文楷体"/>
        </w:rPr>
      </w:pPr>
      <w:r>
        <w:rPr>
          <w:rFonts w:hint="eastAsia" w:hAnsi="华文楷体" w:eastAsia="华文楷体"/>
        </w:rPr>
        <w:t>负责人</w:t>
      </w:r>
      <w:r>
        <w:rPr>
          <w:rFonts w:eastAsia="华文楷体"/>
        </w:rPr>
        <w:t>/</w:t>
      </w:r>
      <w:r>
        <w:rPr>
          <w:rFonts w:hint="eastAsia" w:hAnsi="华文楷体" w:eastAsia="华文楷体"/>
        </w:rPr>
        <w:t>授权签字人：</w:t>
      </w:r>
      <w:r>
        <w:rPr>
          <w:rFonts w:eastAsia="华文楷体"/>
        </w:rPr>
        <w:tab/>
      </w:r>
      <w:r>
        <w:rPr>
          <w:rFonts w:eastAsia="华文楷体"/>
        </w:rPr>
        <w:t>____________________</w:t>
      </w:r>
    </w:p>
    <w:p>
      <w:pPr>
        <w:spacing w:after="240" w:line="400" w:lineRule="exact"/>
        <w:rPr>
          <w:rFonts w:eastAsia="华文楷体"/>
        </w:rPr>
      </w:pPr>
    </w:p>
    <w:p>
      <w:pPr>
        <w:spacing w:after="240" w:line="400" w:lineRule="exact"/>
        <w:rPr>
          <w:rFonts w:eastAsia="华文楷体"/>
        </w:rPr>
      </w:pPr>
      <w:r>
        <w:rPr>
          <w:rFonts w:hint="eastAsia" w:hAnsi="华文楷体" w:eastAsia="华文楷体"/>
        </w:rPr>
        <w:t>受让方：                            （盖章）</w:t>
      </w:r>
    </w:p>
    <w:p>
      <w:pPr>
        <w:spacing w:after="240" w:line="400" w:lineRule="exact"/>
        <w:rPr>
          <w:rFonts w:eastAsia="华文楷体"/>
        </w:rPr>
      </w:pPr>
      <w:r>
        <w:rPr>
          <w:rFonts w:hint="eastAsia" w:hAnsi="华文楷体" w:eastAsia="华文楷体"/>
        </w:rPr>
        <w:t>负责人</w:t>
      </w:r>
      <w:r>
        <w:rPr>
          <w:rFonts w:eastAsia="华文楷体"/>
        </w:rPr>
        <w:t>/</w:t>
      </w:r>
      <w:r>
        <w:rPr>
          <w:rFonts w:hint="eastAsia" w:hAnsi="华文楷体" w:eastAsia="华文楷体"/>
        </w:rPr>
        <w:t xml:space="preserve">授权签字人： </w:t>
      </w:r>
      <w:r>
        <w:rPr>
          <w:rFonts w:eastAsia="华文楷体"/>
        </w:rPr>
        <w:t>____________________</w:t>
      </w:r>
    </w:p>
    <w:p>
      <w:pPr>
        <w:pStyle w:val="20"/>
        <w:spacing w:after="240" w:line="400" w:lineRule="exact"/>
        <w:ind w:firstLine="480" w:firstLineChars="200"/>
        <w:jc w:val="left"/>
        <w:rPr>
          <w:rFonts w:eastAsia="华文楷体"/>
        </w:rPr>
      </w:pPr>
      <w:bookmarkStart w:id="4" w:name="_Toc341252071"/>
      <w:bookmarkStart w:id="5" w:name="_Toc340744031"/>
    </w:p>
    <w:p>
      <w:pPr>
        <w:pStyle w:val="20"/>
        <w:spacing w:after="240" w:line="400" w:lineRule="exact"/>
        <w:ind w:firstLine="480" w:firstLineChars="200"/>
        <w:jc w:val="left"/>
        <w:rPr>
          <w:rFonts w:eastAsia="华文楷体"/>
        </w:rPr>
      </w:pPr>
      <w:r>
        <w:rPr>
          <w:rFonts w:hint="eastAsia" w:hAnsi="华文楷体" w:eastAsia="华文楷体"/>
          <w:szCs w:val="24"/>
        </w:rPr>
        <w:t>年月日</w:t>
      </w:r>
      <w:bookmarkEnd w:id="4"/>
      <w:bookmarkEnd w:id="5"/>
    </w:p>
    <w:p/>
    <w:p>
      <w:pPr>
        <w:rPr>
          <w:rFonts w:ascii="宋体" w:cs="E-BZ-PK74899-Identity-H"/>
          <w:color w:val="000000"/>
          <w:kern w:val="0"/>
          <w:sz w:val="28"/>
          <w:szCs w:val="28"/>
        </w:rPr>
      </w:pPr>
    </w:p>
    <w:p>
      <w:pPr>
        <w:rPr>
          <w:rFonts w:ascii="宋体" w:cs="E-BZ-PK74899-Identity-H"/>
          <w:color w:val="000000"/>
          <w:kern w:val="0"/>
          <w:sz w:val="28"/>
          <w:szCs w:val="28"/>
        </w:rPr>
      </w:pPr>
      <w:r>
        <w:rPr>
          <w:rFonts w:ascii="宋体" w:cs="E-BZ-PK74899-Identity-H"/>
          <w:color w:val="000000"/>
          <w:kern w:val="0"/>
          <w:sz w:val="28"/>
          <w:szCs w:val="28"/>
        </w:rPr>
        <w:br w:type="page"/>
      </w:r>
    </w:p>
    <w:p>
      <w:pPr>
        <w:pStyle w:val="20"/>
        <w:spacing w:after="240" w:line="400" w:lineRule="exact"/>
        <w:rPr>
          <w:rFonts w:eastAsia="华文楷体"/>
          <w:b/>
        </w:rPr>
      </w:pPr>
      <w:r>
        <w:rPr>
          <w:rFonts w:hint="eastAsia" w:hAnsi="华文楷体" w:eastAsia="华文楷体"/>
          <w:b/>
          <w:szCs w:val="24"/>
        </w:rPr>
        <w:t>债权转让与催收通知</w:t>
      </w:r>
    </w:p>
    <w:p>
      <w:pPr>
        <w:spacing w:after="240" w:line="400" w:lineRule="exact"/>
        <w:ind w:right="497"/>
        <w:jc w:val="center"/>
        <w:rPr>
          <w:rFonts w:eastAsia="华文楷体"/>
          <w:sz w:val="24"/>
        </w:rPr>
      </w:pPr>
      <w:r>
        <w:rPr>
          <w:rFonts w:hint="eastAsia" w:hAnsi="华文楷体" w:eastAsia="华文楷体"/>
          <w:sz w:val="24"/>
        </w:rPr>
        <w:t>编号：</w:t>
      </w:r>
    </w:p>
    <w:p>
      <w:pPr>
        <w:spacing w:after="240" w:line="400" w:lineRule="exact"/>
        <w:rPr>
          <w:rFonts w:eastAsia="华文楷体"/>
          <w:b/>
          <w:sz w:val="24"/>
        </w:rPr>
      </w:pPr>
      <w:r>
        <w:rPr>
          <w:rFonts w:hint="eastAsia" w:hAnsi="华文楷体" w:eastAsia="华文楷体"/>
          <w:b/>
          <w:sz w:val="24"/>
        </w:rPr>
        <w:t>致：【相关借款人和担保人的姓名和住址】</w:t>
      </w:r>
    </w:p>
    <w:p>
      <w:pPr>
        <w:spacing w:after="240" w:line="400" w:lineRule="exact"/>
        <w:ind w:firstLine="720" w:firstLineChars="300"/>
        <w:rPr>
          <w:rFonts w:eastAsia="华文楷体"/>
          <w:color w:val="000000"/>
          <w:sz w:val="24"/>
        </w:rPr>
      </w:pPr>
      <w:r>
        <w:rPr>
          <w:rFonts w:hint="eastAsia" w:hAnsi="华文楷体" w:eastAsia="华文楷体"/>
          <w:sz w:val="24"/>
        </w:rPr>
        <w:t>年   月   日，招商银行股份有限公司武汉分行（以下简称“招行”）与</w:t>
      </w:r>
      <w:r>
        <w:rPr>
          <w:rFonts w:hint="eastAsia" w:hAnsi="华文楷体" w:eastAsia="华文楷体"/>
          <w:sz w:val="24"/>
          <w:u w:val="single"/>
        </w:rPr>
        <w:t xml:space="preserve">                                           </w:t>
      </w:r>
      <w:r>
        <w:rPr>
          <w:rFonts w:hint="eastAsia" w:hAnsi="华文楷体" w:eastAsia="华文楷体"/>
          <w:sz w:val="24"/>
        </w:rPr>
        <w:t>（以下简称“</w:t>
      </w:r>
      <w:r>
        <w:rPr>
          <w:rFonts w:hint="eastAsia" w:eastAsia="华文楷体"/>
          <w:sz w:val="24"/>
        </w:rPr>
        <w:t xml:space="preserve">   公司”）</w:t>
      </w:r>
      <w:r>
        <w:rPr>
          <w:rFonts w:hint="eastAsia" w:hAnsi="华文楷体" w:eastAsia="华文楷体"/>
          <w:sz w:val="24"/>
        </w:rPr>
        <w:t>签署《不良金融资产转让合同》，招行已将其依法享有的</w:t>
      </w:r>
      <w:r>
        <w:rPr>
          <w:rFonts w:hint="eastAsia" w:hAnsi="华文楷体" w:eastAsia="华文楷体"/>
          <w:sz w:val="24"/>
          <w:u w:val="single"/>
        </w:rPr>
        <w:t>对下表</w:t>
      </w:r>
      <w:r>
        <w:rPr>
          <w:rFonts w:hint="eastAsia" w:hAnsi="华文楷体" w:eastAsia="华文楷体"/>
          <w:color w:val="000000"/>
          <w:sz w:val="24"/>
        </w:rPr>
        <w:t>中所列债务人的债权及相应担保权利等转让给</w:t>
      </w:r>
      <w:r>
        <w:rPr>
          <w:rFonts w:hint="eastAsia" w:hAnsi="华文楷体" w:eastAsia="华文楷体"/>
          <w:color w:val="000000"/>
          <w:sz w:val="24"/>
          <w:u w:val="single"/>
        </w:rPr>
        <w:t xml:space="preserve">    </w:t>
      </w:r>
      <w:r>
        <w:rPr>
          <w:rFonts w:hint="eastAsia" w:hAnsi="华文楷体" w:eastAsia="华文楷体"/>
          <w:color w:val="000000"/>
          <w:sz w:val="24"/>
        </w:rPr>
        <w:t>公司。现招行依法将债权转让的事实通知各债务人、担保人和其他义务人。</w:t>
      </w:r>
    </w:p>
    <w:p>
      <w:pPr>
        <w:spacing w:after="240" w:line="400" w:lineRule="exact"/>
        <w:ind w:firstLine="1080" w:firstLineChars="450"/>
        <w:rPr>
          <w:rFonts w:eastAsia="华文楷体"/>
          <w:sz w:val="24"/>
        </w:rPr>
      </w:pPr>
      <w:r>
        <w:rPr>
          <w:rFonts w:hint="eastAsia" w:hAnsi="华文楷体" w:eastAsia="华文楷体"/>
          <w:sz w:val="24"/>
        </w:rPr>
        <w:t>公司作为招行上述债权的合法受让方，已依法取得上述债权，现依法向债务人</w:t>
      </w:r>
      <w:r>
        <w:rPr>
          <w:rFonts w:hint="eastAsia" w:eastAsia="华文楷体"/>
          <w:sz w:val="24"/>
        </w:rPr>
        <w:t>、</w:t>
      </w:r>
      <w:r>
        <w:rPr>
          <w:rFonts w:hint="eastAsia" w:hAnsi="华文楷体" w:eastAsia="华文楷体"/>
          <w:sz w:val="24"/>
        </w:rPr>
        <w:t>担保人、其他义务人进行催收，请各债务人</w:t>
      </w:r>
      <w:r>
        <w:rPr>
          <w:rFonts w:hint="eastAsia" w:eastAsia="华文楷体"/>
          <w:sz w:val="24"/>
        </w:rPr>
        <w:t>、</w:t>
      </w:r>
      <w:r>
        <w:rPr>
          <w:rFonts w:hint="eastAsia" w:hAnsi="华文楷体" w:eastAsia="华文楷体"/>
          <w:sz w:val="24"/>
        </w:rPr>
        <w:t>担保人、其他义务人，或债务人</w:t>
      </w:r>
      <w:r>
        <w:rPr>
          <w:rFonts w:hint="eastAsia" w:eastAsia="华文楷体"/>
          <w:sz w:val="24"/>
        </w:rPr>
        <w:t>、</w:t>
      </w:r>
      <w:r>
        <w:rPr>
          <w:rFonts w:hint="eastAsia" w:hAnsi="华文楷体" w:eastAsia="华文楷体"/>
          <w:sz w:val="24"/>
        </w:rPr>
        <w:t>担保人、其他义务人的权利义务承继人，自收到本通知之日起，向履行还款义务及承担相应担保责任。</w:t>
      </w:r>
    </w:p>
    <w:p>
      <w:pPr>
        <w:spacing w:after="240" w:line="400" w:lineRule="exact"/>
        <w:ind w:firstLine="480"/>
        <w:rPr>
          <w:rFonts w:eastAsia="华文楷体"/>
          <w:sz w:val="24"/>
        </w:rPr>
      </w:pPr>
      <w:r>
        <w:rPr>
          <w:rFonts w:hint="eastAsia" w:hAnsi="华文楷体" w:eastAsia="华文楷体"/>
          <w:sz w:val="24"/>
        </w:rPr>
        <w:t>特此通知。</w:t>
      </w:r>
    </w:p>
    <w:tbl>
      <w:tblPr>
        <w:tblStyle w:val="8"/>
        <w:tblW w:w="8522" w:type="dxa"/>
        <w:tblInd w:w="0" w:type="dxa"/>
        <w:tblLayout w:type="fixed"/>
        <w:tblCellMar>
          <w:top w:w="0" w:type="dxa"/>
          <w:left w:w="108" w:type="dxa"/>
          <w:bottom w:w="0" w:type="dxa"/>
          <w:right w:w="108" w:type="dxa"/>
        </w:tblCellMar>
      </w:tblPr>
      <w:tblGrid>
        <w:gridCol w:w="4696"/>
        <w:gridCol w:w="3826"/>
      </w:tblGrid>
      <w:tr>
        <w:tblPrEx>
          <w:tblLayout w:type="fixed"/>
          <w:tblCellMar>
            <w:top w:w="0" w:type="dxa"/>
            <w:left w:w="108" w:type="dxa"/>
            <w:bottom w:w="0" w:type="dxa"/>
            <w:right w:w="108" w:type="dxa"/>
          </w:tblCellMar>
        </w:tblPrEx>
        <w:tc>
          <w:tcPr>
            <w:tcW w:w="4696" w:type="dxa"/>
            <w:noWrap/>
            <w:vAlign w:val="center"/>
          </w:tcPr>
          <w:p>
            <w:pPr>
              <w:pBdr>
                <w:bottom w:val="single" w:color="auto" w:sz="6" w:space="1"/>
              </w:pBdr>
              <w:tabs>
                <w:tab w:val="center" w:pos="4153"/>
                <w:tab w:val="right" w:pos="8306"/>
              </w:tabs>
              <w:snapToGrid w:val="0"/>
              <w:spacing w:before="80" w:after="80" w:line="360" w:lineRule="auto"/>
              <w:jc w:val="left"/>
              <w:rPr>
                <w:rFonts w:hAnsi="华文楷体" w:eastAsia="华文楷体"/>
                <w:color w:val="10000A"/>
                <w:sz w:val="24"/>
              </w:rPr>
            </w:pPr>
            <w:r>
              <w:rPr>
                <w:rFonts w:hint="eastAsia" w:hAnsi="华文楷体" w:eastAsia="华文楷体"/>
                <w:sz w:val="24"/>
              </w:rPr>
              <w:t>转让方：招商银行股份有限公司武汉分行</w:t>
            </w:r>
          </w:p>
          <w:p>
            <w:pPr>
              <w:pBdr>
                <w:bottom w:val="single" w:color="auto" w:sz="6" w:space="1"/>
              </w:pBdr>
              <w:tabs>
                <w:tab w:val="center" w:pos="4153"/>
                <w:tab w:val="right" w:pos="8306"/>
              </w:tabs>
              <w:snapToGrid w:val="0"/>
              <w:spacing w:before="80" w:after="80" w:line="360" w:lineRule="auto"/>
              <w:jc w:val="left"/>
              <w:rPr>
                <w:rFonts w:hAnsi="华文楷体" w:eastAsia="华文楷体"/>
                <w:sz w:val="24"/>
                <w:u w:val="single"/>
              </w:rPr>
            </w:pPr>
          </w:p>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r>
              <w:rPr>
                <w:rFonts w:hint="eastAsia" w:hAnsi="华文楷体" w:eastAsia="华文楷体"/>
                <w:color w:val="10000A"/>
                <w:sz w:val="24"/>
              </w:rPr>
              <w:t>盖章）</w:t>
            </w:r>
          </w:p>
          <w:p>
            <w:pPr>
              <w:pBdr>
                <w:bottom w:val="single" w:color="auto" w:sz="6" w:space="1"/>
              </w:pBdr>
              <w:tabs>
                <w:tab w:val="center" w:pos="4153"/>
                <w:tab w:val="right" w:pos="8306"/>
              </w:tabs>
              <w:snapToGrid w:val="0"/>
              <w:spacing w:before="80" w:after="80" w:line="360" w:lineRule="auto"/>
              <w:jc w:val="left"/>
              <w:rPr>
                <w:rFonts w:eastAsia="华文楷体"/>
                <w:sz w:val="24"/>
              </w:rPr>
            </w:pPr>
          </w:p>
        </w:tc>
        <w:tc>
          <w:tcPr>
            <w:tcW w:w="3826" w:type="dxa"/>
            <w:noWrap/>
            <w:vAlign w:val="center"/>
          </w:tcPr>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r>
              <w:rPr>
                <w:rFonts w:hint="eastAsia" w:hAnsi="华文楷体" w:eastAsia="华文楷体"/>
                <w:color w:val="10000A"/>
                <w:sz w:val="24"/>
              </w:rPr>
              <w:t>受让方：（盖章）</w:t>
            </w:r>
          </w:p>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p>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p>
          <w:p>
            <w:pPr>
              <w:pBdr>
                <w:bottom w:val="single" w:color="auto" w:sz="6" w:space="1"/>
              </w:pBdr>
              <w:tabs>
                <w:tab w:val="center" w:pos="4153"/>
                <w:tab w:val="right" w:pos="8306"/>
              </w:tabs>
              <w:snapToGrid w:val="0"/>
              <w:spacing w:before="80" w:after="80" w:line="360" w:lineRule="auto"/>
              <w:jc w:val="left"/>
              <w:rPr>
                <w:rFonts w:eastAsia="华文楷体"/>
                <w:color w:val="10000A"/>
                <w:sz w:val="24"/>
              </w:rPr>
            </w:pPr>
          </w:p>
        </w:tc>
      </w:tr>
      <w:tr>
        <w:tblPrEx>
          <w:tblLayout w:type="fixed"/>
          <w:tblCellMar>
            <w:top w:w="0" w:type="dxa"/>
            <w:left w:w="108" w:type="dxa"/>
            <w:bottom w:w="0" w:type="dxa"/>
            <w:right w:w="108" w:type="dxa"/>
          </w:tblCellMar>
        </w:tblPrEx>
        <w:tc>
          <w:tcPr>
            <w:tcW w:w="4696" w:type="dxa"/>
            <w:noWrap/>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负责人</w:t>
            </w:r>
            <w:r>
              <w:rPr>
                <w:rFonts w:eastAsia="华文楷体"/>
                <w:sz w:val="24"/>
              </w:rPr>
              <w:t>/</w:t>
            </w:r>
            <w:r>
              <w:rPr>
                <w:rFonts w:hint="eastAsia" w:hAnsi="华文楷体" w:eastAsia="华文楷体"/>
                <w:sz w:val="24"/>
              </w:rPr>
              <w:t>授权签字人：</w:t>
            </w:r>
          </w:p>
          <w:p>
            <w:pPr>
              <w:pBdr>
                <w:bottom w:val="single" w:color="auto" w:sz="6" w:space="1"/>
              </w:pBdr>
              <w:tabs>
                <w:tab w:val="center" w:pos="4153"/>
                <w:tab w:val="right" w:pos="8306"/>
              </w:tabs>
              <w:snapToGrid w:val="0"/>
              <w:spacing w:before="80" w:after="80" w:line="360" w:lineRule="auto"/>
              <w:rPr>
                <w:rFonts w:eastAsia="华文楷体"/>
                <w:sz w:val="24"/>
              </w:rPr>
            </w:pPr>
          </w:p>
        </w:tc>
        <w:tc>
          <w:tcPr>
            <w:tcW w:w="3826" w:type="dxa"/>
            <w:noWrap/>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负责人</w:t>
            </w:r>
            <w:r>
              <w:rPr>
                <w:rFonts w:eastAsia="华文楷体"/>
                <w:sz w:val="24"/>
              </w:rPr>
              <w:t>/</w:t>
            </w:r>
            <w:r>
              <w:rPr>
                <w:rFonts w:hint="eastAsia" w:hAnsi="华文楷体" w:eastAsia="华文楷体"/>
                <w:sz w:val="24"/>
              </w:rPr>
              <w:t>授权签字人：</w:t>
            </w:r>
          </w:p>
          <w:p>
            <w:pPr>
              <w:pBdr>
                <w:bottom w:val="single" w:color="auto" w:sz="6" w:space="1"/>
              </w:pBdr>
              <w:tabs>
                <w:tab w:val="center" w:pos="4153"/>
                <w:tab w:val="right" w:pos="8306"/>
              </w:tabs>
              <w:snapToGrid w:val="0"/>
              <w:spacing w:before="80" w:after="80" w:line="360" w:lineRule="auto"/>
              <w:rPr>
                <w:rFonts w:eastAsia="华文楷体"/>
                <w:sz w:val="24"/>
              </w:rPr>
            </w:pPr>
          </w:p>
        </w:tc>
      </w:tr>
      <w:tr>
        <w:tblPrEx>
          <w:tblLayout w:type="fixed"/>
          <w:tblCellMar>
            <w:top w:w="0" w:type="dxa"/>
            <w:left w:w="108" w:type="dxa"/>
            <w:bottom w:w="0" w:type="dxa"/>
            <w:right w:w="108" w:type="dxa"/>
          </w:tblCellMar>
        </w:tblPrEx>
        <w:tc>
          <w:tcPr>
            <w:tcW w:w="4696" w:type="dxa"/>
            <w:noWrap/>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地址：武汉市汉口建设大道518号招银大厦裙楼</w:t>
            </w:r>
          </w:p>
        </w:tc>
        <w:tc>
          <w:tcPr>
            <w:tcW w:w="3826" w:type="dxa"/>
            <w:noWrap/>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地址：</w:t>
            </w:r>
          </w:p>
        </w:tc>
      </w:tr>
      <w:tr>
        <w:tblPrEx>
          <w:tblLayout w:type="fixed"/>
          <w:tblCellMar>
            <w:top w:w="0" w:type="dxa"/>
            <w:left w:w="108" w:type="dxa"/>
            <w:bottom w:w="0" w:type="dxa"/>
            <w:right w:w="108" w:type="dxa"/>
          </w:tblCellMar>
        </w:tblPrEx>
        <w:tc>
          <w:tcPr>
            <w:tcW w:w="4696" w:type="dxa"/>
            <w:noWrap/>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联系电话：027-85490012</w:t>
            </w:r>
          </w:p>
        </w:tc>
        <w:tc>
          <w:tcPr>
            <w:tcW w:w="3826" w:type="dxa"/>
            <w:noWrap/>
            <w:vAlign w:val="center"/>
          </w:tcPr>
          <w:p>
            <w:pPr>
              <w:pBdr>
                <w:bottom w:val="single" w:color="auto" w:sz="6" w:space="1"/>
              </w:pBdr>
              <w:tabs>
                <w:tab w:val="center" w:pos="4153"/>
                <w:tab w:val="right" w:pos="8306"/>
              </w:tabs>
              <w:snapToGrid w:val="0"/>
              <w:spacing w:before="80" w:after="80" w:line="360" w:lineRule="auto"/>
              <w:rPr>
                <w:rFonts w:eastAsia="华文楷体"/>
                <w:sz w:val="24"/>
              </w:rPr>
            </w:pPr>
            <w:r>
              <w:rPr>
                <w:rFonts w:hint="eastAsia" w:hAnsi="华文楷体" w:eastAsia="华文楷体"/>
                <w:sz w:val="24"/>
              </w:rPr>
              <w:t>联系电话：</w:t>
            </w:r>
          </w:p>
        </w:tc>
      </w:tr>
    </w:tbl>
    <w:p>
      <w:pPr>
        <w:pStyle w:val="20"/>
        <w:spacing w:after="240" w:line="400" w:lineRule="exact"/>
        <w:jc w:val="right"/>
        <w:rPr>
          <w:rFonts w:eastAsia="华文楷体"/>
          <w:b/>
        </w:rPr>
      </w:pPr>
      <w:bookmarkStart w:id="6" w:name="_Toc340744029"/>
      <w:bookmarkStart w:id="7" w:name="_Toc341252069"/>
      <w:r>
        <w:rPr>
          <w:rFonts w:hint="eastAsia" w:hAnsi="华文楷体" w:eastAsia="华文楷体"/>
          <w:b/>
          <w:szCs w:val="24"/>
        </w:rPr>
        <w:t>日期：</w:t>
      </w:r>
      <w:r>
        <w:rPr>
          <w:rFonts w:eastAsia="华文楷体"/>
          <w:b/>
          <w:szCs w:val="24"/>
        </w:rPr>
        <w:t>____</w:t>
      </w:r>
      <w:r>
        <w:rPr>
          <w:rFonts w:hint="eastAsia" w:hAnsi="华文楷体" w:eastAsia="华文楷体"/>
          <w:b/>
          <w:szCs w:val="24"/>
        </w:rPr>
        <w:t>年</w:t>
      </w:r>
      <w:r>
        <w:rPr>
          <w:rFonts w:eastAsia="华文楷体"/>
          <w:b/>
          <w:szCs w:val="24"/>
        </w:rPr>
        <w:t>____</w:t>
      </w:r>
      <w:r>
        <w:rPr>
          <w:rFonts w:hint="eastAsia" w:hAnsi="华文楷体" w:eastAsia="华文楷体"/>
          <w:b/>
          <w:szCs w:val="24"/>
        </w:rPr>
        <w:t>月</w:t>
      </w:r>
      <w:r>
        <w:rPr>
          <w:rFonts w:eastAsia="华文楷体"/>
          <w:b/>
          <w:szCs w:val="24"/>
        </w:rPr>
        <w:t>____</w:t>
      </w:r>
      <w:r>
        <w:rPr>
          <w:rFonts w:hint="eastAsia" w:hAnsi="华文楷体" w:eastAsia="华文楷体"/>
          <w:b/>
          <w:szCs w:val="24"/>
        </w:rPr>
        <w:t>日</w:t>
      </w:r>
      <w:bookmarkEnd w:id="6"/>
      <w:bookmarkEnd w:id="7"/>
    </w:p>
    <w:p>
      <w:pPr>
        <w:spacing w:after="240" w:line="400" w:lineRule="exact"/>
        <w:jc w:val="center"/>
        <w:rPr>
          <w:rFonts w:eastAsia="华文楷体"/>
          <w:b/>
        </w:rPr>
      </w:pPr>
      <w:r>
        <w:rPr>
          <w:rFonts w:eastAsia="华文楷体"/>
        </w:rPr>
        <w:br w:type="page"/>
      </w:r>
      <w:r>
        <w:rPr>
          <w:rFonts w:hint="eastAsia" w:hAnsi="华文楷体" w:eastAsia="华文楷体"/>
          <w:b/>
        </w:rPr>
        <w:t>附表</w:t>
      </w:r>
      <w:r>
        <w:rPr>
          <w:rFonts w:eastAsia="华文楷体"/>
          <w:b/>
        </w:rPr>
        <w:br w:type="textWrapping" w:clear="all"/>
      </w:r>
      <w:r>
        <w:rPr>
          <w:rFonts w:hint="eastAsia" w:asciiTheme="minorEastAsia" w:hAnsiTheme="minorEastAsia" w:cstheme="minorEastAsia"/>
          <w:szCs w:val="21"/>
          <w:u w:val="single"/>
        </w:rPr>
        <w:t>__     __</w:t>
      </w:r>
      <w:r>
        <w:rPr>
          <w:rFonts w:hint="eastAsia" w:hAnsi="华文楷体" w:eastAsia="华文楷体"/>
          <w:szCs w:val="21"/>
        </w:rPr>
        <w:t>号《债权转让与催收通知》项下</w:t>
      </w:r>
      <w:r>
        <w:rPr>
          <w:rFonts w:hint="eastAsia" w:hAnsi="华文楷体" w:eastAsia="华文楷体"/>
          <w:b/>
        </w:rPr>
        <w:t>贷款明细表</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14"/>
        <w:gridCol w:w="1417"/>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vAlign w:val="center"/>
          </w:tcPr>
          <w:p>
            <w:pPr>
              <w:jc w:val="center"/>
              <w:rPr>
                <w:rFonts w:eastAsia="华文楷体"/>
                <w:bCs/>
                <w:color w:val="000000"/>
                <w:sz w:val="18"/>
                <w:szCs w:val="18"/>
              </w:rPr>
            </w:pPr>
            <w:r>
              <w:rPr>
                <w:rFonts w:hint="eastAsia" w:hAnsi="华文楷体" w:eastAsia="华文楷体"/>
                <w:bCs/>
                <w:color w:val="000000"/>
                <w:sz w:val="18"/>
                <w:szCs w:val="18"/>
              </w:rPr>
              <w:t>借款人（或保理合同项下应收帐款付款义务人）名称</w:t>
            </w:r>
          </w:p>
        </w:tc>
        <w:tc>
          <w:tcPr>
            <w:tcW w:w="1814" w:type="dxa"/>
            <w:noWrap/>
            <w:vAlign w:val="center"/>
          </w:tcPr>
          <w:p>
            <w:pPr>
              <w:jc w:val="center"/>
              <w:rPr>
                <w:rFonts w:eastAsia="华文楷体"/>
                <w:bCs/>
                <w:color w:val="000000"/>
                <w:sz w:val="18"/>
                <w:szCs w:val="18"/>
              </w:rPr>
            </w:pPr>
            <w:r>
              <w:rPr>
                <w:rFonts w:hint="eastAsia" w:hAnsi="华文楷体" w:eastAsia="华文楷体"/>
                <w:bCs/>
                <w:color w:val="000000"/>
                <w:sz w:val="18"/>
                <w:szCs w:val="18"/>
              </w:rPr>
              <w:t>借款合同名称、编号（或合同签订时间）</w:t>
            </w:r>
          </w:p>
        </w:tc>
        <w:tc>
          <w:tcPr>
            <w:tcW w:w="1417" w:type="dxa"/>
            <w:noWrap/>
            <w:vAlign w:val="center"/>
          </w:tcPr>
          <w:p>
            <w:pPr>
              <w:jc w:val="center"/>
              <w:rPr>
                <w:rFonts w:eastAsia="华文楷体"/>
                <w:bCs/>
                <w:color w:val="000000"/>
                <w:sz w:val="18"/>
                <w:szCs w:val="18"/>
              </w:rPr>
            </w:pPr>
            <w:r>
              <w:rPr>
                <w:rFonts w:hint="eastAsia" w:hAnsi="华文楷体" w:eastAsia="华文楷体"/>
                <w:bCs/>
                <w:color w:val="000000"/>
                <w:sz w:val="18"/>
                <w:szCs w:val="18"/>
              </w:rPr>
              <w:t>担保人（包括保证人、抵押人、质押人）名称</w:t>
            </w:r>
          </w:p>
        </w:tc>
        <w:tc>
          <w:tcPr>
            <w:tcW w:w="1701" w:type="dxa"/>
            <w:noWrap/>
            <w:vAlign w:val="center"/>
          </w:tcPr>
          <w:p>
            <w:pPr>
              <w:jc w:val="center"/>
              <w:rPr>
                <w:rFonts w:eastAsia="华文楷体"/>
                <w:bCs/>
                <w:color w:val="000000"/>
                <w:sz w:val="18"/>
                <w:szCs w:val="18"/>
              </w:rPr>
            </w:pPr>
            <w:r>
              <w:rPr>
                <w:rFonts w:hint="eastAsia" w:hAnsi="华文楷体" w:eastAsia="华文楷体"/>
                <w:bCs/>
                <w:color w:val="000000"/>
                <w:sz w:val="18"/>
                <w:szCs w:val="18"/>
              </w:rPr>
              <w:t>担保合同名称、编号（或合同签订时间</w:t>
            </w:r>
          </w:p>
        </w:tc>
        <w:tc>
          <w:tcPr>
            <w:tcW w:w="1418" w:type="dxa"/>
            <w:noWrap/>
            <w:vAlign w:val="center"/>
          </w:tcPr>
          <w:p>
            <w:pPr>
              <w:jc w:val="center"/>
              <w:rPr>
                <w:rFonts w:eastAsia="华文楷体"/>
                <w:bCs/>
                <w:color w:val="000000"/>
                <w:sz w:val="18"/>
                <w:szCs w:val="18"/>
              </w:rPr>
            </w:pPr>
            <w:r>
              <w:rPr>
                <w:rFonts w:hint="eastAsia" w:hAnsi="华文楷体" w:eastAsia="华文楷体"/>
                <w:bCs/>
                <w:color w:val="000000"/>
                <w:sz w:val="18"/>
                <w:szCs w:val="18"/>
              </w:rPr>
              <w:t>贷款行名称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tcPr>
          <w:p>
            <w:pPr>
              <w:pStyle w:val="21"/>
              <w:widowControl w:val="0"/>
              <w:tabs>
                <w:tab w:val="left" w:pos="4680"/>
              </w:tabs>
              <w:spacing w:after="240" w:line="400" w:lineRule="exact"/>
              <w:rPr>
                <w:rFonts w:eastAsia="华文楷体"/>
                <w:color w:val="000000"/>
              </w:rPr>
            </w:pPr>
          </w:p>
        </w:tc>
        <w:tc>
          <w:tcPr>
            <w:tcW w:w="1814" w:type="dxa"/>
            <w:noWrap/>
          </w:tcPr>
          <w:p>
            <w:pPr>
              <w:pStyle w:val="21"/>
              <w:widowControl w:val="0"/>
              <w:tabs>
                <w:tab w:val="left" w:pos="4680"/>
              </w:tabs>
              <w:spacing w:after="240" w:line="400" w:lineRule="exact"/>
              <w:rPr>
                <w:rFonts w:eastAsia="华文楷体"/>
                <w:color w:val="000000"/>
              </w:rPr>
            </w:pPr>
          </w:p>
        </w:tc>
        <w:tc>
          <w:tcPr>
            <w:tcW w:w="1417" w:type="dxa"/>
            <w:noWrap/>
          </w:tcPr>
          <w:p>
            <w:pPr>
              <w:pStyle w:val="21"/>
              <w:widowControl w:val="0"/>
              <w:tabs>
                <w:tab w:val="left" w:pos="4680"/>
              </w:tabs>
              <w:spacing w:after="240" w:line="400" w:lineRule="exact"/>
              <w:rPr>
                <w:rFonts w:eastAsia="华文楷体"/>
                <w:color w:val="000000"/>
              </w:rPr>
            </w:pPr>
          </w:p>
        </w:tc>
        <w:tc>
          <w:tcPr>
            <w:tcW w:w="1701" w:type="dxa"/>
            <w:noWrap/>
          </w:tcPr>
          <w:p>
            <w:pPr>
              <w:pStyle w:val="21"/>
              <w:widowControl w:val="0"/>
              <w:tabs>
                <w:tab w:val="left" w:pos="4680"/>
              </w:tabs>
              <w:spacing w:after="240" w:line="400" w:lineRule="exact"/>
              <w:rPr>
                <w:rFonts w:eastAsia="华文楷体"/>
                <w:color w:val="000000"/>
              </w:rPr>
            </w:pPr>
          </w:p>
        </w:tc>
        <w:tc>
          <w:tcPr>
            <w:tcW w:w="1418" w:type="dxa"/>
            <w:noWrap/>
          </w:tcPr>
          <w:p>
            <w:pPr>
              <w:pStyle w:val="21"/>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tcPr>
          <w:p>
            <w:pPr>
              <w:pStyle w:val="21"/>
              <w:widowControl w:val="0"/>
              <w:tabs>
                <w:tab w:val="left" w:pos="4680"/>
              </w:tabs>
              <w:spacing w:after="240" w:line="400" w:lineRule="exact"/>
              <w:rPr>
                <w:rFonts w:eastAsia="华文楷体"/>
                <w:color w:val="000000"/>
              </w:rPr>
            </w:pPr>
          </w:p>
        </w:tc>
        <w:tc>
          <w:tcPr>
            <w:tcW w:w="1814" w:type="dxa"/>
            <w:noWrap/>
          </w:tcPr>
          <w:p>
            <w:pPr>
              <w:pStyle w:val="21"/>
              <w:widowControl w:val="0"/>
              <w:tabs>
                <w:tab w:val="left" w:pos="4680"/>
              </w:tabs>
              <w:spacing w:after="240" w:line="400" w:lineRule="exact"/>
              <w:rPr>
                <w:rFonts w:eastAsia="华文楷体"/>
                <w:color w:val="000000"/>
              </w:rPr>
            </w:pPr>
          </w:p>
        </w:tc>
        <w:tc>
          <w:tcPr>
            <w:tcW w:w="1417" w:type="dxa"/>
            <w:noWrap/>
          </w:tcPr>
          <w:p>
            <w:pPr>
              <w:pStyle w:val="21"/>
              <w:widowControl w:val="0"/>
              <w:tabs>
                <w:tab w:val="left" w:pos="4680"/>
              </w:tabs>
              <w:spacing w:after="240" w:line="400" w:lineRule="exact"/>
              <w:rPr>
                <w:rFonts w:eastAsia="华文楷体"/>
                <w:color w:val="000000"/>
              </w:rPr>
            </w:pPr>
          </w:p>
        </w:tc>
        <w:tc>
          <w:tcPr>
            <w:tcW w:w="1701" w:type="dxa"/>
            <w:noWrap/>
          </w:tcPr>
          <w:p>
            <w:pPr>
              <w:pStyle w:val="21"/>
              <w:widowControl w:val="0"/>
              <w:tabs>
                <w:tab w:val="left" w:pos="4680"/>
              </w:tabs>
              <w:spacing w:after="240" w:line="400" w:lineRule="exact"/>
              <w:rPr>
                <w:rFonts w:eastAsia="华文楷体"/>
                <w:color w:val="000000"/>
              </w:rPr>
            </w:pPr>
          </w:p>
        </w:tc>
        <w:tc>
          <w:tcPr>
            <w:tcW w:w="1418" w:type="dxa"/>
            <w:noWrap/>
          </w:tcPr>
          <w:p>
            <w:pPr>
              <w:pStyle w:val="21"/>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tcPr>
          <w:p>
            <w:pPr>
              <w:pStyle w:val="21"/>
              <w:widowControl w:val="0"/>
              <w:tabs>
                <w:tab w:val="left" w:pos="4680"/>
              </w:tabs>
              <w:spacing w:after="240" w:line="400" w:lineRule="exact"/>
              <w:rPr>
                <w:rFonts w:eastAsia="华文楷体"/>
                <w:color w:val="000000"/>
              </w:rPr>
            </w:pPr>
          </w:p>
        </w:tc>
        <w:tc>
          <w:tcPr>
            <w:tcW w:w="1814" w:type="dxa"/>
            <w:noWrap/>
          </w:tcPr>
          <w:p>
            <w:pPr>
              <w:pStyle w:val="21"/>
              <w:widowControl w:val="0"/>
              <w:tabs>
                <w:tab w:val="left" w:pos="4680"/>
              </w:tabs>
              <w:spacing w:after="240" w:line="400" w:lineRule="exact"/>
              <w:rPr>
                <w:rFonts w:eastAsia="华文楷体"/>
                <w:color w:val="000000"/>
              </w:rPr>
            </w:pPr>
          </w:p>
        </w:tc>
        <w:tc>
          <w:tcPr>
            <w:tcW w:w="1417" w:type="dxa"/>
            <w:noWrap/>
          </w:tcPr>
          <w:p>
            <w:pPr>
              <w:pStyle w:val="21"/>
              <w:widowControl w:val="0"/>
              <w:tabs>
                <w:tab w:val="left" w:pos="4680"/>
              </w:tabs>
              <w:spacing w:after="240" w:line="400" w:lineRule="exact"/>
              <w:rPr>
                <w:rFonts w:eastAsia="华文楷体"/>
                <w:color w:val="000000"/>
              </w:rPr>
            </w:pPr>
          </w:p>
        </w:tc>
        <w:tc>
          <w:tcPr>
            <w:tcW w:w="1701" w:type="dxa"/>
            <w:noWrap/>
          </w:tcPr>
          <w:p>
            <w:pPr>
              <w:pStyle w:val="21"/>
              <w:widowControl w:val="0"/>
              <w:tabs>
                <w:tab w:val="left" w:pos="4680"/>
              </w:tabs>
              <w:spacing w:after="240" w:line="400" w:lineRule="exact"/>
              <w:rPr>
                <w:rFonts w:eastAsia="华文楷体"/>
                <w:color w:val="000000"/>
              </w:rPr>
            </w:pPr>
          </w:p>
        </w:tc>
        <w:tc>
          <w:tcPr>
            <w:tcW w:w="1418" w:type="dxa"/>
            <w:noWrap/>
          </w:tcPr>
          <w:p>
            <w:pPr>
              <w:pStyle w:val="21"/>
              <w:widowControl w:val="0"/>
              <w:tabs>
                <w:tab w:val="left" w:pos="4680"/>
              </w:tabs>
              <w:spacing w:after="240" w:line="400" w:lineRule="exact"/>
              <w:rPr>
                <w:rFonts w:eastAsia="华文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noWrap/>
          </w:tcPr>
          <w:p>
            <w:pPr>
              <w:pStyle w:val="21"/>
              <w:widowControl w:val="0"/>
              <w:tabs>
                <w:tab w:val="left" w:pos="4680"/>
              </w:tabs>
              <w:spacing w:after="240" w:line="400" w:lineRule="exact"/>
              <w:rPr>
                <w:rFonts w:eastAsia="华文楷体"/>
                <w:color w:val="000000"/>
              </w:rPr>
            </w:pPr>
          </w:p>
        </w:tc>
        <w:tc>
          <w:tcPr>
            <w:tcW w:w="1814" w:type="dxa"/>
            <w:noWrap/>
          </w:tcPr>
          <w:p>
            <w:pPr>
              <w:pStyle w:val="21"/>
              <w:widowControl w:val="0"/>
              <w:tabs>
                <w:tab w:val="left" w:pos="4680"/>
              </w:tabs>
              <w:spacing w:after="240" w:line="400" w:lineRule="exact"/>
              <w:rPr>
                <w:rFonts w:eastAsia="华文楷体"/>
                <w:color w:val="000000"/>
              </w:rPr>
            </w:pPr>
          </w:p>
        </w:tc>
        <w:tc>
          <w:tcPr>
            <w:tcW w:w="1417" w:type="dxa"/>
            <w:noWrap/>
          </w:tcPr>
          <w:p>
            <w:pPr>
              <w:pStyle w:val="21"/>
              <w:widowControl w:val="0"/>
              <w:tabs>
                <w:tab w:val="left" w:pos="4680"/>
              </w:tabs>
              <w:spacing w:after="240" w:line="400" w:lineRule="exact"/>
              <w:rPr>
                <w:rFonts w:eastAsia="华文楷体"/>
                <w:color w:val="000000"/>
              </w:rPr>
            </w:pPr>
          </w:p>
        </w:tc>
        <w:tc>
          <w:tcPr>
            <w:tcW w:w="1701" w:type="dxa"/>
            <w:noWrap/>
          </w:tcPr>
          <w:p>
            <w:pPr>
              <w:pStyle w:val="21"/>
              <w:widowControl w:val="0"/>
              <w:tabs>
                <w:tab w:val="left" w:pos="4680"/>
              </w:tabs>
              <w:spacing w:after="240" w:line="400" w:lineRule="exact"/>
              <w:rPr>
                <w:rFonts w:eastAsia="华文楷体"/>
                <w:color w:val="000000"/>
              </w:rPr>
            </w:pPr>
          </w:p>
        </w:tc>
        <w:tc>
          <w:tcPr>
            <w:tcW w:w="1418" w:type="dxa"/>
            <w:noWrap/>
          </w:tcPr>
          <w:p>
            <w:pPr>
              <w:pStyle w:val="21"/>
              <w:widowControl w:val="0"/>
              <w:tabs>
                <w:tab w:val="left" w:pos="4680"/>
              </w:tabs>
              <w:spacing w:after="240" w:line="400" w:lineRule="exact"/>
              <w:rPr>
                <w:rFonts w:eastAsia="华文楷体"/>
                <w:color w:val="000000"/>
              </w:rPr>
            </w:pPr>
          </w:p>
        </w:tc>
      </w:tr>
    </w:tbl>
    <w:p>
      <w:pPr>
        <w:spacing w:before="80" w:after="80" w:line="360" w:lineRule="auto"/>
        <w:jc w:val="center"/>
        <w:rPr>
          <w:rFonts w:eastAsia="华文楷体"/>
          <w:b/>
          <w:color w:val="10000A"/>
          <w:sz w:val="28"/>
          <w:szCs w:val="28"/>
        </w:rPr>
      </w:pPr>
      <w:r>
        <w:rPr>
          <w:rFonts w:hint="eastAsia" w:hAnsi="华文楷体" w:eastAsia="华文楷体"/>
          <w:b/>
          <w:color w:val="10000A"/>
          <w:sz w:val="28"/>
          <w:szCs w:val="28"/>
        </w:rPr>
        <w:t>回　执</w:t>
      </w:r>
    </w:p>
    <w:p>
      <w:pPr>
        <w:spacing w:before="80" w:after="80" w:line="360" w:lineRule="auto"/>
        <w:ind w:right="-153" w:rightChars="-73" w:firstLine="495" w:firstLineChars="236"/>
        <w:rPr>
          <w:rFonts w:hAnsi="华文楷体" w:eastAsia="华文楷体"/>
          <w:color w:val="10000A"/>
          <w:szCs w:val="21"/>
        </w:rPr>
      </w:pPr>
      <w:r>
        <w:rPr>
          <w:rFonts w:hint="eastAsia" w:hAnsi="华文楷体" w:eastAsia="华文楷体"/>
          <w:color w:val="10000A"/>
          <w:szCs w:val="21"/>
        </w:rPr>
        <w:t>本债务人已收到号《债权转让与催收通知》及所附贷款明细表。对上述通知所列招商银行股份有限公司武汉分行与债权转让事项不持任何异议，并愿向</w:t>
      </w:r>
      <w:r>
        <w:rPr>
          <w:rFonts w:hint="eastAsia" w:hAnsi="华文楷体" w:eastAsia="华文楷体"/>
          <w:color w:val="10000A"/>
          <w:szCs w:val="21"/>
          <w:u w:val="single"/>
        </w:rPr>
        <w:t xml:space="preserve">                      </w:t>
      </w:r>
      <w:r>
        <w:rPr>
          <w:rFonts w:hint="eastAsia" w:hAnsi="华文楷体" w:eastAsia="华文楷体"/>
          <w:color w:val="10000A"/>
          <w:szCs w:val="21"/>
        </w:rPr>
        <w:t>履行上述借款合同项下的全部义务。特此回执。</w:t>
      </w:r>
    </w:p>
    <w:p>
      <w:pPr>
        <w:spacing w:before="80" w:after="80" w:line="360" w:lineRule="auto"/>
        <w:ind w:firstLine="3717" w:firstLineChars="1770"/>
        <w:rPr>
          <w:rFonts w:eastAsia="华文楷体"/>
          <w:color w:val="10000A"/>
          <w:szCs w:val="21"/>
        </w:rPr>
      </w:pPr>
      <w:r>
        <w:rPr>
          <w:rFonts w:hint="eastAsia" w:hAnsi="华文楷体" w:eastAsia="华文楷体"/>
          <w:color w:val="10000A"/>
          <w:szCs w:val="21"/>
        </w:rPr>
        <w:t>债务人（签章）：年月日</w:t>
      </w:r>
    </w:p>
    <w:p>
      <w:pPr>
        <w:spacing w:before="80" w:after="80" w:line="360" w:lineRule="auto"/>
        <w:rPr>
          <w:rFonts w:eastAsia="华文楷体"/>
          <w:szCs w:val="21"/>
        </w:rPr>
      </w:pPr>
      <w:r>
        <w:rPr>
          <w:rFonts w:hint="eastAsia" w:eastAsia="华文楷体"/>
          <w:szCs w:val="21"/>
        </w:rPr>
        <w:t>债务人</w:t>
      </w:r>
      <w:r>
        <w:rPr>
          <w:rFonts w:hint="eastAsia" w:hAnsi="华文楷体" w:eastAsia="华文楷体"/>
          <w:szCs w:val="21"/>
        </w:rPr>
        <w:t>地址：邮编：电话：</w:t>
      </w:r>
    </w:p>
    <w:p>
      <w:pPr>
        <w:spacing w:before="80" w:after="80" w:line="360" w:lineRule="auto"/>
        <w:ind w:firstLine="645"/>
        <w:rPr>
          <w:rFonts w:eastAsia="华文楷体"/>
          <w:szCs w:val="21"/>
        </w:rPr>
      </w:pPr>
      <w:r>
        <w:rPr>
          <w:rFonts w:eastAsia="华文楷体"/>
          <w:szCs w:val="21"/>
        </w:rPr>
        <w:t>――――――――――――――――――――――――――――――</w:t>
      </w:r>
      <w:r>
        <w:rPr>
          <w:rFonts w:hint="eastAsia" w:hAnsi="华文楷体" w:eastAsia="华文楷体"/>
          <w:szCs w:val="21"/>
        </w:rPr>
        <w:t>（骑缝章）</w:t>
      </w:r>
    </w:p>
    <w:p>
      <w:pPr>
        <w:spacing w:before="80" w:after="80" w:line="360" w:lineRule="auto"/>
        <w:jc w:val="center"/>
        <w:rPr>
          <w:rFonts w:eastAsia="华文楷体"/>
          <w:b/>
          <w:color w:val="10000A"/>
          <w:sz w:val="28"/>
          <w:szCs w:val="28"/>
        </w:rPr>
      </w:pPr>
      <w:r>
        <w:rPr>
          <w:rFonts w:hint="eastAsia" w:hAnsi="华文楷体" w:eastAsia="华文楷体"/>
          <w:b/>
          <w:color w:val="10000A"/>
          <w:sz w:val="28"/>
          <w:szCs w:val="28"/>
        </w:rPr>
        <w:t>回执</w:t>
      </w:r>
    </w:p>
    <w:p>
      <w:pPr>
        <w:spacing w:before="80" w:after="80" w:line="360" w:lineRule="auto"/>
        <w:ind w:right="-153" w:rightChars="-73" w:firstLine="495" w:firstLineChars="236"/>
        <w:rPr>
          <w:rFonts w:eastAsia="华文楷体"/>
          <w:color w:val="10000A"/>
          <w:szCs w:val="21"/>
        </w:rPr>
      </w:pPr>
      <w:r>
        <w:rPr>
          <w:rFonts w:hint="eastAsia" w:hAnsi="华文楷体" w:eastAsia="华文楷体"/>
          <w:color w:val="10000A"/>
          <w:szCs w:val="21"/>
        </w:rPr>
        <w:t>本担保人已收到</w:t>
      </w:r>
      <w:r>
        <w:rPr>
          <w:rFonts w:eastAsia="华文楷体"/>
          <w:szCs w:val="21"/>
          <w:u w:val="single"/>
        </w:rPr>
        <w:t>____</w:t>
      </w:r>
      <w:r>
        <w:rPr>
          <w:rFonts w:hint="eastAsia" w:hAnsi="华文楷体" w:eastAsia="华文楷体"/>
          <w:szCs w:val="21"/>
        </w:rPr>
        <w:t>号《债权转让与催收通知》</w:t>
      </w:r>
      <w:r>
        <w:rPr>
          <w:rFonts w:hint="eastAsia" w:hAnsi="华文楷体" w:eastAsia="华文楷体"/>
          <w:color w:val="10000A"/>
          <w:szCs w:val="21"/>
        </w:rPr>
        <w:t>及所附贷款明细表</w:t>
      </w:r>
      <w:r>
        <w:rPr>
          <w:rFonts w:hint="eastAsia" w:hAnsi="华文楷体" w:eastAsia="华文楷体"/>
          <w:szCs w:val="21"/>
        </w:rPr>
        <w:t>，</w:t>
      </w:r>
      <w:r>
        <w:rPr>
          <w:rFonts w:hint="eastAsia" w:hAnsi="华文楷体" w:eastAsia="华文楷体"/>
          <w:color w:val="10000A"/>
          <w:szCs w:val="21"/>
        </w:rPr>
        <w:t>获悉上述通知所列招商银行股份有限公司</w:t>
      </w:r>
      <w:r>
        <w:rPr>
          <w:rFonts w:hint="eastAsia" w:hAnsi="华文楷体" w:eastAsia="华文楷体"/>
          <w:color w:val="10000A"/>
          <w:szCs w:val="21"/>
          <w:u w:val="single"/>
        </w:rPr>
        <w:t>武汉</w:t>
      </w:r>
      <w:r>
        <w:rPr>
          <w:rFonts w:hint="eastAsia" w:hAnsi="华文楷体" w:eastAsia="华文楷体"/>
          <w:color w:val="10000A"/>
          <w:szCs w:val="21"/>
        </w:rPr>
        <w:t>分行与债权转让事项，并愿向履行上述担保义务。特此回复。</w:t>
      </w:r>
    </w:p>
    <w:p>
      <w:pPr>
        <w:spacing w:before="80" w:after="80" w:line="360" w:lineRule="auto"/>
        <w:ind w:left="-178" w:leftChars="-85" w:right="-153" w:rightChars="-73" w:firstLine="4004" w:firstLineChars="1907"/>
        <w:rPr>
          <w:rFonts w:eastAsia="华文楷体"/>
          <w:color w:val="10000A"/>
          <w:szCs w:val="21"/>
        </w:rPr>
      </w:pPr>
      <w:r>
        <w:rPr>
          <w:rFonts w:hint="eastAsia" w:hAnsi="华文楷体" w:eastAsia="华文楷体"/>
          <w:color w:val="10000A"/>
          <w:szCs w:val="21"/>
        </w:rPr>
        <w:t>担保人（签章）：年 月 日</w:t>
      </w:r>
    </w:p>
    <w:p>
      <w:pPr>
        <w:spacing w:before="80" w:after="80" w:line="360" w:lineRule="auto"/>
      </w:pPr>
      <w:r>
        <w:rPr>
          <w:rFonts w:hint="eastAsia" w:hAnsi="华文楷体" w:eastAsia="华文楷体"/>
          <w:szCs w:val="21"/>
        </w:rPr>
        <w:t>担保人地址：邮编：电话：</w:t>
      </w:r>
    </w:p>
    <w:p/>
    <w:p>
      <w:pPr>
        <w:autoSpaceDE w:val="0"/>
        <w:autoSpaceDN w:val="0"/>
        <w:adjustRightInd w:val="0"/>
        <w:rPr>
          <w:rFonts w:ascii="宋体" w:cs="E-BZ-PK74899-Identity-H"/>
          <w:color w:val="000000"/>
          <w:kern w:val="0"/>
          <w:sz w:val="28"/>
          <w:szCs w:val="28"/>
        </w:rPr>
      </w:pPr>
    </w:p>
    <w:p/>
    <w:p>
      <w:pPr>
        <w:autoSpaceDE w:val="0"/>
        <w:autoSpaceDN w:val="0"/>
        <w:adjustRightInd w:val="0"/>
        <w:jc w:val="left"/>
        <w:rPr>
          <w:rFonts w:ascii="宋体" w:cs="E-BZ-PK74899-Identity-H"/>
          <w:color w:val="000000"/>
          <w:kern w:val="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HTJ-PK7482000004b-Identity-H">
    <w:altName w:val="宋体"/>
    <w:panose1 w:val="00000000000000000000"/>
    <w:charset w:val="86"/>
    <w:family w:val="auto"/>
    <w:pitch w:val="default"/>
    <w:sig w:usb0="00000000" w:usb1="00000000" w:usb2="00000010" w:usb3="00000000" w:csb0="00040000" w:csb1="00000000"/>
  </w:font>
  <w:font w:name="FSJ-PK7482000000b-Identity-H">
    <w:altName w:val="宋体"/>
    <w:panose1 w:val="00000000000000000000"/>
    <w:charset w:val="86"/>
    <w:family w:val="auto"/>
    <w:pitch w:val="default"/>
    <w:sig w:usb0="00000000" w:usb1="00000000" w:usb2="00000010" w:usb3="00000000" w:csb0="00040000" w:csb1="00000000"/>
  </w:font>
  <w:font w:name="KTJ-PK74820000009-Identity-H">
    <w:altName w:val="宋体"/>
    <w:panose1 w:val="00000000000000000000"/>
    <w:charset w:val="86"/>
    <w:family w:val="auto"/>
    <w:pitch w:val="default"/>
    <w:sig w:usb0="00000000" w:usb1="00000000" w:usb2="00000010" w:usb3="00000000" w:csb0="00040000" w:csb1="00000000"/>
  </w:font>
  <w:font w:name="E-BZ-PK74899-Identity-H">
    <w:altName w:val="宋体"/>
    <w:panose1 w:val="00000000000000000000"/>
    <w:charset w:val="86"/>
    <w:family w:val="auto"/>
    <w:pitch w:val="default"/>
    <w:sig w:usb0="00000000" w:usb1="00000000" w:usb2="00000010" w:usb3="00000000" w:csb0="00040000" w:csb1="00000000"/>
  </w:font>
  <w:font w:name="_5b8b_4f53">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FN-BZ-PK7481d9-Identity-H">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14</w:t>
    </w:r>
    <w:r>
      <w:rPr>
        <w:b/>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429A8"/>
    <w:multiLevelType w:val="multilevel"/>
    <w:tmpl w:val="2E4429A8"/>
    <w:lvl w:ilvl="0" w:tentative="0">
      <w:start w:val="1"/>
      <w:numFmt w:val="chineseCountingThousand"/>
      <w:lvlText w:val="第%1条"/>
      <w:lvlJc w:val="left"/>
      <w:pPr>
        <w:tabs>
          <w:tab w:val="left" w:pos="1498"/>
        </w:tabs>
        <w:ind w:left="1498" w:hanging="420"/>
      </w:pPr>
      <w:rPr>
        <w:rFonts w:hint="eastAsia" w:cs="Times New Roman"/>
      </w:rPr>
    </w:lvl>
    <w:lvl w:ilvl="1" w:tentative="0">
      <w:start w:val="1"/>
      <w:numFmt w:val="chineseCountingThousand"/>
      <w:lvlText w:val="第%2条"/>
      <w:lvlJc w:val="left"/>
      <w:pPr>
        <w:tabs>
          <w:tab w:val="left" w:pos="1378"/>
        </w:tabs>
        <w:ind w:left="1378" w:hanging="420"/>
      </w:pPr>
      <w:rPr>
        <w:rFonts w:hint="eastAsia" w:cs="Times New Roman"/>
      </w:rPr>
    </w:lvl>
    <w:lvl w:ilvl="2" w:tentative="0">
      <w:start w:val="1"/>
      <w:numFmt w:val="lowerRoman"/>
      <w:lvlText w:val="%3."/>
      <w:lvlJc w:val="right"/>
      <w:pPr>
        <w:tabs>
          <w:tab w:val="left" w:pos="1798"/>
        </w:tabs>
        <w:ind w:left="1798" w:hanging="420"/>
      </w:pPr>
      <w:rPr>
        <w:rFonts w:cs="Times New Roman"/>
      </w:rPr>
    </w:lvl>
    <w:lvl w:ilvl="3" w:tentative="0">
      <w:start w:val="1"/>
      <w:numFmt w:val="decimal"/>
      <w:lvlText w:val="%4."/>
      <w:lvlJc w:val="left"/>
      <w:pPr>
        <w:tabs>
          <w:tab w:val="left" w:pos="2218"/>
        </w:tabs>
        <w:ind w:left="2218" w:hanging="420"/>
      </w:pPr>
      <w:rPr>
        <w:rFonts w:cs="Times New Roman"/>
      </w:rPr>
    </w:lvl>
    <w:lvl w:ilvl="4" w:tentative="0">
      <w:start w:val="1"/>
      <w:numFmt w:val="lowerLetter"/>
      <w:lvlText w:val="%5)"/>
      <w:lvlJc w:val="left"/>
      <w:pPr>
        <w:tabs>
          <w:tab w:val="left" w:pos="2638"/>
        </w:tabs>
        <w:ind w:left="2638" w:hanging="420"/>
      </w:pPr>
      <w:rPr>
        <w:rFonts w:cs="Times New Roman"/>
      </w:rPr>
    </w:lvl>
    <w:lvl w:ilvl="5" w:tentative="0">
      <w:start w:val="1"/>
      <w:numFmt w:val="lowerRoman"/>
      <w:lvlText w:val="%6."/>
      <w:lvlJc w:val="right"/>
      <w:pPr>
        <w:tabs>
          <w:tab w:val="left" w:pos="3058"/>
        </w:tabs>
        <w:ind w:left="3058" w:hanging="420"/>
      </w:pPr>
      <w:rPr>
        <w:rFonts w:cs="Times New Roman"/>
      </w:rPr>
    </w:lvl>
    <w:lvl w:ilvl="6" w:tentative="0">
      <w:start w:val="1"/>
      <w:numFmt w:val="decimal"/>
      <w:lvlText w:val="%7."/>
      <w:lvlJc w:val="left"/>
      <w:pPr>
        <w:tabs>
          <w:tab w:val="left" w:pos="3478"/>
        </w:tabs>
        <w:ind w:left="3478" w:hanging="420"/>
      </w:pPr>
      <w:rPr>
        <w:rFonts w:cs="Times New Roman"/>
      </w:rPr>
    </w:lvl>
    <w:lvl w:ilvl="7" w:tentative="0">
      <w:start w:val="1"/>
      <w:numFmt w:val="lowerLetter"/>
      <w:lvlText w:val="%8)"/>
      <w:lvlJc w:val="left"/>
      <w:pPr>
        <w:tabs>
          <w:tab w:val="left" w:pos="3898"/>
        </w:tabs>
        <w:ind w:left="3898" w:hanging="420"/>
      </w:pPr>
      <w:rPr>
        <w:rFonts w:cs="Times New Roman"/>
      </w:rPr>
    </w:lvl>
    <w:lvl w:ilvl="8" w:tentative="0">
      <w:start w:val="1"/>
      <w:numFmt w:val="lowerRoman"/>
      <w:lvlText w:val="%9."/>
      <w:lvlJc w:val="right"/>
      <w:pPr>
        <w:tabs>
          <w:tab w:val="left" w:pos="4318"/>
        </w:tabs>
        <w:ind w:left="431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2"/>
  </w:compat>
  <w:docVars>
    <w:docVar w:name="59A628120000142E" w:val=" "/>
    <w:docVar w:name="59A7A8A100006943" w:val=" "/>
  </w:docVars>
  <w:rsids>
    <w:rsidRoot w:val="00172A27"/>
    <w:rsid w:val="00065AF9"/>
    <w:rsid w:val="000A3AAB"/>
    <w:rsid w:val="000B27F5"/>
    <w:rsid w:val="000C134A"/>
    <w:rsid w:val="000D43FC"/>
    <w:rsid w:val="00163F92"/>
    <w:rsid w:val="00172A27"/>
    <w:rsid w:val="00180EDA"/>
    <w:rsid w:val="001B73A1"/>
    <w:rsid w:val="001D30B9"/>
    <w:rsid w:val="001F252E"/>
    <w:rsid w:val="00212F89"/>
    <w:rsid w:val="00236A41"/>
    <w:rsid w:val="002472D8"/>
    <w:rsid w:val="00270BAD"/>
    <w:rsid w:val="00275C71"/>
    <w:rsid w:val="00285FAF"/>
    <w:rsid w:val="002A02E8"/>
    <w:rsid w:val="002B4C2A"/>
    <w:rsid w:val="00301020"/>
    <w:rsid w:val="00343482"/>
    <w:rsid w:val="00377784"/>
    <w:rsid w:val="00377A15"/>
    <w:rsid w:val="003B5A3B"/>
    <w:rsid w:val="003C663A"/>
    <w:rsid w:val="003F1958"/>
    <w:rsid w:val="004025DA"/>
    <w:rsid w:val="00431B19"/>
    <w:rsid w:val="00432B45"/>
    <w:rsid w:val="004353F3"/>
    <w:rsid w:val="00495C59"/>
    <w:rsid w:val="004B4410"/>
    <w:rsid w:val="00511C96"/>
    <w:rsid w:val="00516383"/>
    <w:rsid w:val="005351EF"/>
    <w:rsid w:val="00535A19"/>
    <w:rsid w:val="005A6512"/>
    <w:rsid w:val="005D1271"/>
    <w:rsid w:val="005E0055"/>
    <w:rsid w:val="005E7EB2"/>
    <w:rsid w:val="00632A9A"/>
    <w:rsid w:val="006423E2"/>
    <w:rsid w:val="00692872"/>
    <w:rsid w:val="006C6541"/>
    <w:rsid w:val="006D437E"/>
    <w:rsid w:val="007073B7"/>
    <w:rsid w:val="00741292"/>
    <w:rsid w:val="007C1889"/>
    <w:rsid w:val="007F0861"/>
    <w:rsid w:val="00813B0D"/>
    <w:rsid w:val="00813DE1"/>
    <w:rsid w:val="00856D9D"/>
    <w:rsid w:val="00865CFA"/>
    <w:rsid w:val="0088692C"/>
    <w:rsid w:val="008F50B7"/>
    <w:rsid w:val="009962AE"/>
    <w:rsid w:val="00997234"/>
    <w:rsid w:val="009B3B9E"/>
    <w:rsid w:val="009E4A52"/>
    <w:rsid w:val="00A32F6A"/>
    <w:rsid w:val="00A638BC"/>
    <w:rsid w:val="00A77D3E"/>
    <w:rsid w:val="00A80EC0"/>
    <w:rsid w:val="00AC62DB"/>
    <w:rsid w:val="00AE1A69"/>
    <w:rsid w:val="00B213EB"/>
    <w:rsid w:val="00B708D4"/>
    <w:rsid w:val="00B85670"/>
    <w:rsid w:val="00BE5E51"/>
    <w:rsid w:val="00C50E6C"/>
    <w:rsid w:val="00C71972"/>
    <w:rsid w:val="00CA6FD0"/>
    <w:rsid w:val="00CE1D10"/>
    <w:rsid w:val="00D06F5C"/>
    <w:rsid w:val="00D86EBD"/>
    <w:rsid w:val="00E84A35"/>
    <w:rsid w:val="00EB5F51"/>
    <w:rsid w:val="00EC771E"/>
    <w:rsid w:val="00ED5146"/>
    <w:rsid w:val="00EF05D0"/>
    <w:rsid w:val="00F0146C"/>
    <w:rsid w:val="00FA0A58"/>
    <w:rsid w:val="011875D0"/>
    <w:rsid w:val="02705C0D"/>
    <w:rsid w:val="02FF41F8"/>
    <w:rsid w:val="034104E4"/>
    <w:rsid w:val="099E62D5"/>
    <w:rsid w:val="0ADD5F3B"/>
    <w:rsid w:val="102A1392"/>
    <w:rsid w:val="132F6187"/>
    <w:rsid w:val="18021EF2"/>
    <w:rsid w:val="18DA4154"/>
    <w:rsid w:val="1C8416D6"/>
    <w:rsid w:val="1DBD4C56"/>
    <w:rsid w:val="212307EB"/>
    <w:rsid w:val="213D6E16"/>
    <w:rsid w:val="223932E9"/>
    <w:rsid w:val="26693BB8"/>
    <w:rsid w:val="2AB84B24"/>
    <w:rsid w:val="2CB43665"/>
    <w:rsid w:val="30C65115"/>
    <w:rsid w:val="34103577"/>
    <w:rsid w:val="34DC1C3E"/>
    <w:rsid w:val="36453517"/>
    <w:rsid w:val="367407E3"/>
    <w:rsid w:val="37422135"/>
    <w:rsid w:val="37AA0860"/>
    <w:rsid w:val="398D4278"/>
    <w:rsid w:val="3B545CBF"/>
    <w:rsid w:val="3C3A4DDB"/>
    <w:rsid w:val="3F34383F"/>
    <w:rsid w:val="4124436F"/>
    <w:rsid w:val="48DD29D9"/>
    <w:rsid w:val="4BF957B2"/>
    <w:rsid w:val="4D950A56"/>
    <w:rsid w:val="56F7363C"/>
    <w:rsid w:val="57260908"/>
    <w:rsid w:val="5924294C"/>
    <w:rsid w:val="5CED4F00"/>
    <w:rsid w:val="5CFB7A99"/>
    <w:rsid w:val="5FE73964"/>
    <w:rsid w:val="67046310"/>
    <w:rsid w:val="68C76B3F"/>
    <w:rsid w:val="68EB61B0"/>
    <w:rsid w:val="69123E71"/>
    <w:rsid w:val="6CAC58D7"/>
    <w:rsid w:val="6F430F28"/>
    <w:rsid w:val="6F77126D"/>
    <w:rsid w:val="6FDD03F7"/>
    <w:rsid w:val="71E071C0"/>
    <w:rsid w:val="768C6869"/>
    <w:rsid w:val="79D62A71"/>
    <w:rsid w:val="7A150DE1"/>
    <w:rsid w:val="7B551F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nhideWhenUsed="0" w:uiPriority="99" w:name="annotation text"/>
    <w:lsdException w:qFormat="1"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Date"/>
    <w:basedOn w:val="1"/>
    <w:next w:val="1"/>
    <w:link w:val="19"/>
    <w:unhideWhenUsed/>
    <w:uiPriority w:val="0"/>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qFormat/>
    <w:uiPriority w:val="99"/>
    <w:rPr>
      <w:b/>
      <w:bCs/>
    </w:rPr>
  </w:style>
  <w:style w:type="character" w:styleId="10">
    <w:name w:val="FollowedHyperlink"/>
    <w:basedOn w:val="9"/>
    <w:unhideWhenUsed/>
    <w:uiPriority w:val="0"/>
    <w:rPr>
      <w:color w:val="000000"/>
      <w:u w:val="none"/>
    </w:rPr>
  </w:style>
  <w:style w:type="character" w:styleId="11">
    <w:name w:val="Hyperlink"/>
    <w:basedOn w:val="9"/>
    <w:unhideWhenUsed/>
    <w:uiPriority w:val="0"/>
    <w:rPr>
      <w:color w:val="000000"/>
      <w:u w:val="none"/>
    </w:rPr>
  </w:style>
  <w:style w:type="character" w:styleId="12">
    <w:name w:val="annotation reference"/>
    <w:basedOn w:val="9"/>
    <w:semiHidden/>
    <w:uiPriority w:val="99"/>
    <w:rPr>
      <w:rFonts w:cs="Times New Roman"/>
      <w:sz w:val="21"/>
      <w:szCs w:val="21"/>
    </w:rPr>
  </w:style>
  <w:style w:type="paragraph" w:customStyle="1" w:styleId="13">
    <w:name w:val="修订1"/>
    <w:hidden/>
    <w:semiHidden/>
    <w:qFormat/>
    <w:uiPriority w:val="99"/>
    <w:rPr>
      <w:rFonts w:ascii="Calibri" w:hAnsi="Calibri" w:eastAsia="宋体" w:cs="Calibri"/>
      <w:lang w:val="en-US" w:eastAsia="zh-CN" w:bidi="ar-SA"/>
    </w:rPr>
  </w:style>
  <w:style w:type="character" w:customStyle="1" w:styleId="14">
    <w:name w:val="批注文字 Char"/>
    <w:basedOn w:val="9"/>
    <w:link w:val="2"/>
    <w:semiHidden/>
    <w:qFormat/>
    <w:locked/>
    <w:uiPriority w:val="99"/>
    <w:rPr>
      <w:rFonts w:cs="Times New Roman"/>
    </w:rPr>
  </w:style>
  <w:style w:type="character" w:customStyle="1" w:styleId="15">
    <w:name w:val="批注主题 Char"/>
    <w:basedOn w:val="14"/>
    <w:link w:val="7"/>
    <w:semiHidden/>
    <w:qFormat/>
    <w:locked/>
    <w:uiPriority w:val="99"/>
    <w:rPr>
      <w:rFonts w:cs="Times New Roman"/>
      <w:b/>
      <w:bCs/>
    </w:rPr>
  </w:style>
  <w:style w:type="character" w:customStyle="1" w:styleId="16">
    <w:name w:val="批注框文本 Char"/>
    <w:basedOn w:val="9"/>
    <w:link w:val="4"/>
    <w:semiHidden/>
    <w:locked/>
    <w:uiPriority w:val="99"/>
    <w:rPr>
      <w:rFonts w:cs="Times New Roman"/>
      <w:sz w:val="18"/>
      <w:szCs w:val="18"/>
    </w:rPr>
  </w:style>
  <w:style w:type="character" w:customStyle="1" w:styleId="17">
    <w:name w:val="页眉 Char"/>
    <w:basedOn w:val="9"/>
    <w:link w:val="6"/>
    <w:qFormat/>
    <w:locked/>
    <w:uiPriority w:val="99"/>
    <w:rPr>
      <w:rFonts w:cs="Times New Roman"/>
      <w:sz w:val="18"/>
      <w:szCs w:val="18"/>
    </w:rPr>
  </w:style>
  <w:style w:type="character" w:customStyle="1" w:styleId="18">
    <w:name w:val="页脚 Char"/>
    <w:basedOn w:val="9"/>
    <w:link w:val="5"/>
    <w:locked/>
    <w:uiPriority w:val="99"/>
    <w:rPr>
      <w:rFonts w:cs="Times New Roman"/>
      <w:sz w:val="18"/>
      <w:szCs w:val="18"/>
    </w:rPr>
  </w:style>
  <w:style w:type="character" w:customStyle="1" w:styleId="19">
    <w:name w:val="日期 Char"/>
    <w:basedOn w:val="9"/>
    <w:link w:val="3"/>
    <w:semiHidden/>
    <w:qFormat/>
    <w:uiPriority w:val="0"/>
    <w:rPr>
      <w:rFonts w:cs="Times New Roman"/>
      <w:kern w:val="2"/>
      <w:sz w:val="21"/>
      <w:szCs w:val="22"/>
    </w:rPr>
  </w:style>
  <w:style w:type="paragraph" w:customStyle="1" w:styleId="20">
    <w:name w:val="Date1"/>
    <w:basedOn w:val="1"/>
    <w:next w:val="21"/>
    <w:qFormat/>
    <w:uiPriority w:val="0"/>
    <w:pPr>
      <w:widowControl/>
      <w:jc w:val="center"/>
    </w:pPr>
    <w:rPr>
      <w:kern w:val="0"/>
      <w:sz w:val="24"/>
      <w:szCs w:val="20"/>
    </w:rPr>
  </w:style>
  <w:style w:type="paragraph" w:customStyle="1" w:styleId="21">
    <w:name w:val="Normal (Justified)"/>
    <w:basedOn w:val="1"/>
    <w:qFormat/>
    <w:uiPriority w:val="0"/>
    <w:pPr>
      <w:widowControl/>
    </w:pPr>
    <w:rPr>
      <w:kern w:val="28"/>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905</Words>
  <Characters>5162</Characters>
  <Lines>43</Lines>
  <Paragraphs>12</Paragraphs>
  <TotalTime>2</TotalTime>
  <ScaleCrop>false</ScaleCrop>
  <LinksUpToDate>false</LinksUpToDate>
  <CharactersWithSpaces>6055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2017-08-30T03:14:00Z</dcterms:created>
  <dc:creator>屈坤浩</dc:creator>
  <cp:lastModifiedBy>lenovo</cp:lastModifiedBy>
  <cp:lastPrinted>2016-08-11T02:28:00Z</cp:lastPrinted>
  <dcterms:modified xsi:type="dcterms:W3CDTF">2020-06-17T00:44:51Z</dcterms:modified>
  <dc:title>金融资产转让合同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